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B7684" w14:textId="69DC938D" w:rsidR="00A0228C" w:rsidRPr="00922212" w:rsidRDefault="002206BB" w:rsidP="00922212">
      <w:pPr>
        <w:autoSpaceDE w:val="0"/>
        <w:autoSpaceDN w:val="0"/>
        <w:adjustRightInd w:val="0"/>
        <w:spacing w:line="480" w:lineRule="auto"/>
        <w:jc w:val="center"/>
        <w:rPr>
          <w:b/>
          <w:color w:val="000000"/>
          <w:sz w:val="24"/>
          <w:szCs w:val="24"/>
        </w:rPr>
      </w:pPr>
      <w:r w:rsidRPr="002206BB">
        <w:rPr>
          <w:b/>
          <w:color w:val="000000"/>
          <w:sz w:val="24"/>
          <w:szCs w:val="24"/>
        </w:rPr>
        <w:t>PUC DOCKET NO. 56211</w:t>
      </w:r>
    </w:p>
    <w:p w14:paraId="459E960C" w14:textId="77777777" w:rsidR="0093715C" w:rsidRPr="00922212" w:rsidRDefault="0093715C" w:rsidP="00922212">
      <w:pPr>
        <w:autoSpaceDE w:val="0"/>
        <w:autoSpaceDN w:val="0"/>
        <w:adjustRightInd w:val="0"/>
        <w:spacing w:line="480" w:lineRule="auto"/>
        <w:jc w:val="center"/>
        <w:rPr>
          <w:b/>
          <w:color w:val="000000"/>
          <w:sz w:val="24"/>
          <w:szCs w:val="24"/>
        </w:rPr>
      </w:pPr>
    </w:p>
    <w:tbl>
      <w:tblPr>
        <w:tblW w:w="9720" w:type="dxa"/>
        <w:tblInd w:w="-410" w:type="dxa"/>
        <w:tblLayout w:type="fixed"/>
        <w:tblCellMar>
          <w:left w:w="40" w:type="dxa"/>
          <w:right w:w="40" w:type="dxa"/>
        </w:tblCellMar>
        <w:tblLook w:val="0000" w:firstRow="0" w:lastRow="0" w:firstColumn="0" w:lastColumn="0" w:noHBand="0" w:noVBand="0"/>
      </w:tblPr>
      <w:tblGrid>
        <w:gridCol w:w="4770"/>
        <w:gridCol w:w="500"/>
        <w:gridCol w:w="4450"/>
      </w:tblGrid>
      <w:tr w:rsidR="0093715C" w:rsidRPr="00922212" w14:paraId="15D00F85" w14:textId="77777777" w:rsidTr="00B66E85">
        <w:tc>
          <w:tcPr>
            <w:tcW w:w="4770" w:type="dxa"/>
            <w:tcBorders>
              <w:top w:val="nil"/>
              <w:left w:val="nil"/>
              <w:bottom w:val="nil"/>
              <w:right w:val="nil"/>
            </w:tcBorders>
          </w:tcPr>
          <w:p w14:paraId="6FEF1A01" w14:textId="77777777" w:rsidR="0093715C" w:rsidRPr="00922212" w:rsidRDefault="00865135" w:rsidP="00922212">
            <w:pPr>
              <w:rPr>
                <w:b/>
                <w:sz w:val="24"/>
                <w:szCs w:val="24"/>
              </w:rPr>
            </w:pPr>
            <w:r w:rsidRPr="00922212">
              <w:rPr>
                <w:b/>
                <w:sz w:val="24"/>
                <w:szCs w:val="24"/>
              </w:rPr>
              <w:t>APPLICATION OF CENTERPOINT ENERGY HOUSTON ELECTRIC, LLC FOR AUTHORITY TO CHANGE RATES</w:t>
            </w:r>
          </w:p>
          <w:p w14:paraId="42C59BCA" w14:textId="77777777" w:rsidR="0093715C" w:rsidRPr="00922212" w:rsidRDefault="0093715C" w:rsidP="00922212">
            <w:pPr>
              <w:autoSpaceDE w:val="0"/>
              <w:autoSpaceDN w:val="0"/>
              <w:adjustRightInd w:val="0"/>
              <w:spacing w:line="480" w:lineRule="auto"/>
              <w:ind w:left="108" w:right="108"/>
              <w:rPr>
                <w:b/>
                <w:sz w:val="24"/>
                <w:szCs w:val="24"/>
              </w:rPr>
            </w:pPr>
          </w:p>
        </w:tc>
        <w:tc>
          <w:tcPr>
            <w:tcW w:w="500" w:type="dxa"/>
            <w:tcBorders>
              <w:top w:val="nil"/>
              <w:left w:val="nil"/>
              <w:bottom w:val="nil"/>
              <w:right w:val="nil"/>
            </w:tcBorders>
          </w:tcPr>
          <w:p w14:paraId="53A4ECC3" w14:textId="651F57D4" w:rsidR="0093715C" w:rsidRPr="00922212" w:rsidRDefault="0093715C" w:rsidP="00B66E85">
            <w:pPr>
              <w:autoSpaceDE w:val="0"/>
              <w:autoSpaceDN w:val="0"/>
              <w:adjustRightInd w:val="0"/>
              <w:ind w:left="108" w:right="108"/>
              <w:jc w:val="center"/>
              <w:rPr>
                <w:b/>
                <w:color w:val="000000"/>
                <w:sz w:val="24"/>
                <w:szCs w:val="24"/>
              </w:rPr>
            </w:pPr>
            <w:r w:rsidRPr="00922212">
              <w:rPr>
                <w:b/>
                <w:color w:val="000000"/>
                <w:sz w:val="24"/>
                <w:szCs w:val="24"/>
              </w:rPr>
              <w:t>§§</w:t>
            </w:r>
          </w:p>
          <w:p w14:paraId="791BCAEE" w14:textId="77777777" w:rsidR="0093715C" w:rsidRPr="00922212" w:rsidRDefault="0093715C" w:rsidP="00B66E85">
            <w:pPr>
              <w:autoSpaceDE w:val="0"/>
              <w:autoSpaceDN w:val="0"/>
              <w:adjustRightInd w:val="0"/>
              <w:ind w:left="108" w:right="108"/>
              <w:jc w:val="center"/>
              <w:rPr>
                <w:b/>
                <w:color w:val="000000"/>
                <w:sz w:val="24"/>
                <w:szCs w:val="24"/>
              </w:rPr>
            </w:pPr>
            <w:r w:rsidRPr="00922212">
              <w:rPr>
                <w:b/>
                <w:color w:val="000000"/>
                <w:sz w:val="24"/>
                <w:szCs w:val="24"/>
              </w:rPr>
              <w:t>§</w:t>
            </w:r>
          </w:p>
          <w:p w14:paraId="3A45015A" w14:textId="77777777" w:rsidR="0093715C" w:rsidRPr="00922212" w:rsidRDefault="0093715C" w:rsidP="00922212">
            <w:pPr>
              <w:autoSpaceDE w:val="0"/>
              <w:autoSpaceDN w:val="0"/>
              <w:adjustRightInd w:val="0"/>
              <w:spacing w:line="480" w:lineRule="auto"/>
              <w:ind w:left="108" w:right="108"/>
              <w:jc w:val="center"/>
              <w:rPr>
                <w:b/>
                <w:color w:val="000000"/>
                <w:sz w:val="24"/>
                <w:szCs w:val="24"/>
              </w:rPr>
            </w:pPr>
          </w:p>
          <w:p w14:paraId="04519AF6" w14:textId="77777777" w:rsidR="0093715C" w:rsidRPr="00922212" w:rsidRDefault="0093715C" w:rsidP="00922212">
            <w:pPr>
              <w:autoSpaceDE w:val="0"/>
              <w:autoSpaceDN w:val="0"/>
              <w:adjustRightInd w:val="0"/>
              <w:spacing w:line="480" w:lineRule="auto"/>
              <w:ind w:left="108" w:right="108"/>
              <w:jc w:val="center"/>
              <w:rPr>
                <w:b/>
                <w:color w:val="000000"/>
                <w:sz w:val="24"/>
                <w:szCs w:val="24"/>
              </w:rPr>
            </w:pPr>
          </w:p>
        </w:tc>
        <w:tc>
          <w:tcPr>
            <w:tcW w:w="4450" w:type="dxa"/>
            <w:tcBorders>
              <w:top w:val="nil"/>
              <w:left w:val="nil"/>
              <w:bottom w:val="nil"/>
              <w:right w:val="nil"/>
            </w:tcBorders>
          </w:tcPr>
          <w:p w14:paraId="49B28ADC" w14:textId="77777777" w:rsidR="0093715C" w:rsidRPr="00922212" w:rsidRDefault="0093715C" w:rsidP="00922212">
            <w:pPr>
              <w:autoSpaceDE w:val="0"/>
              <w:autoSpaceDN w:val="0"/>
              <w:adjustRightInd w:val="0"/>
              <w:ind w:right="115"/>
              <w:jc w:val="center"/>
              <w:rPr>
                <w:b/>
                <w:color w:val="000000"/>
                <w:sz w:val="24"/>
                <w:szCs w:val="24"/>
              </w:rPr>
            </w:pPr>
            <w:r w:rsidRPr="00922212">
              <w:rPr>
                <w:b/>
                <w:color w:val="000000"/>
                <w:sz w:val="24"/>
                <w:szCs w:val="24"/>
              </w:rPr>
              <w:t>PUBLIC UTILITY COMMISSION</w:t>
            </w:r>
          </w:p>
          <w:p w14:paraId="6185FC4D" w14:textId="77777777" w:rsidR="0093715C" w:rsidRPr="00922212" w:rsidRDefault="0093715C" w:rsidP="00922212">
            <w:pPr>
              <w:autoSpaceDE w:val="0"/>
              <w:autoSpaceDN w:val="0"/>
              <w:adjustRightInd w:val="0"/>
              <w:ind w:right="115"/>
              <w:jc w:val="center"/>
              <w:rPr>
                <w:b/>
                <w:color w:val="000000"/>
                <w:sz w:val="24"/>
                <w:szCs w:val="24"/>
              </w:rPr>
            </w:pPr>
          </w:p>
          <w:p w14:paraId="6C2D02C4" w14:textId="77777777" w:rsidR="0093715C" w:rsidRPr="00922212" w:rsidRDefault="0093715C" w:rsidP="00922212">
            <w:pPr>
              <w:autoSpaceDE w:val="0"/>
              <w:autoSpaceDN w:val="0"/>
              <w:adjustRightInd w:val="0"/>
              <w:ind w:right="115"/>
              <w:jc w:val="center"/>
              <w:rPr>
                <w:b/>
                <w:color w:val="000000"/>
                <w:sz w:val="24"/>
                <w:szCs w:val="24"/>
              </w:rPr>
            </w:pPr>
            <w:r w:rsidRPr="00922212">
              <w:rPr>
                <w:b/>
                <w:color w:val="000000"/>
                <w:sz w:val="24"/>
                <w:szCs w:val="24"/>
              </w:rPr>
              <w:t>OF TEXAS</w:t>
            </w:r>
          </w:p>
        </w:tc>
      </w:tr>
    </w:tbl>
    <w:p w14:paraId="69F00D99" w14:textId="77777777"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DIRECT TESTIMONY</w:t>
      </w:r>
    </w:p>
    <w:p w14:paraId="62CF2819" w14:textId="4E157864"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 xml:space="preserve"> </w:t>
      </w:r>
      <w:r w:rsidRPr="0968DBEB">
        <w:rPr>
          <w:b/>
          <w:bCs/>
          <w:color w:val="000000" w:themeColor="text1"/>
          <w:sz w:val="24"/>
          <w:szCs w:val="24"/>
        </w:rPr>
        <w:t>OF</w:t>
      </w:r>
    </w:p>
    <w:p w14:paraId="40423201" w14:textId="10813A97" w:rsidR="008C7BD6" w:rsidRPr="00922212" w:rsidRDefault="00656086" w:rsidP="00922212">
      <w:pPr>
        <w:autoSpaceDE w:val="0"/>
        <w:autoSpaceDN w:val="0"/>
        <w:adjustRightInd w:val="0"/>
        <w:spacing w:line="480" w:lineRule="auto"/>
        <w:jc w:val="center"/>
        <w:rPr>
          <w:b/>
          <w:color w:val="000000"/>
          <w:sz w:val="24"/>
          <w:szCs w:val="24"/>
        </w:rPr>
      </w:pPr>
      <w:r>
        <w:rPr>
          <w:b/>
          <w:color w:val="000000"/>
          <w:sz w:val="24"/>
          <w:szCs w:val="24"/>
        </w:rPr>
        <w:t>JOHN R. HUDSON</w:t>
      </w:r>
      <w:r w:rsidR="0005740C">
        <w:rPr>
          <w:b/>
          <w:color w:val="000000"/>
          <w:sz w:val="24"/>
          <w:szCs w:val="24"/>
        </w:rPr>
        <w:t xml:space="preserve"> III</w:t>
      </w:r>
    </w:p>
    <w:p w14:paraId="4C4FF380" w14:textId="77777777" w:rsidR="008C7BD6" w:rsidRPr="00922212" w:rsidRDefault="008C7BD6" w:rsidP="00922212">
      <w:pPr>
        <w:autoSpaceDE w:val="0"/>
        <w:autoSpaceDN w:val="0"/>
        <w:adjustRightInd w:val="0"/>
        <w:spacing w:line="480" w:lineRule="auto"/>
        <w:jc w:val="center"/>
        <w:rPr>
          <w:b/>
          <w:color w:val="000000"/>
          <w:sz w:val="24"/>
          <w:szCs w:val="24"/>
        </w:rPr>
      </w:pPr>
    </w:p>
    <w:p w14:paraId="323D5629" w14:textId="77777777"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ON BEHALF OF</w:t>
      </w:r>
    </w:p>
    <w:p w14:paraId="761F2281" w14:textId="77777777" w:rsidR="008C7BD6" w:rsidRPr="00922212" w:rsidRDefault="008C7BD6" w:rsidP="00922212">
      <w:pPr>
        <w:autoSpaceDE w:val="0"/>
        <w:autoSpaceDN w:val="0"/>
        <w:adjustRightInd w:val="0"/>
        <w:spacing w:line="480" w:lineRule="auto"/>
        <w:jc w:val="center"/>
        <w:rPr>
          <w:b/>
          <w:color w:val="000000"/>
          <w:sz w:val="24"/>
          <w:szCs w:val="24"/>
        </w:rPr>
      </w:pPr>
    </w:p>
    <w:p w14:paraId="237BB73C" w14:textId="77777777"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CENTERPOINT ENERGY HOUSTON ELECTRIC, LLC</w:t>
      </w:r>
    </w:p>
    <w:p w14:paraId="5C3142C0" w14:textId="77777777" w:rsidR="008C7BD6" w:rsidRDefault="008C7BD6" w:rsidP="00922212">
      <w:pPr>
        <w:autoSpaceDE w:val="0"/>
        <w:autoSpaceDN w:val="0"/>
        <w:adjustRightInd w:val="0"/>
        <w:spacing w:line="480" w:lineRule="auto"/>
        <w:jc w:val="center"/>
        <w:rPr>
          <w:b/>
          <w:color w:val="000000"/>
          <w:sz w:val="24"/>
          <w:szCs w:val="24"/>
        </w:rPr>
      </w:pPr>
    </w:p>
    <w:p w14:paraId="5118B248" w14:textId="77777777" w:rsidR="002206BB" w:rsidRDefault="002206BB" w:rsidP="00922212">
      <w:pPr>
        <w:autoSpaceDE w:val="0"/>
        <w:autoSpaceDN w:val="0"/>
        <w:adjustRightInd w:val="0"/>
        <w:spacing w:line="480" w:lineRule="auto"/>
        <w:jc w:val="center"/>
        <w:rPr>
          <w:b/>
          <w:color w:val="000000"/>
          <w:sz w:val="24"/>
          <w:szCs w:val="24"/>
        </w:rPr>
      </w:pPr>
    </w:p>
    <w:p w14:paraId="2CAED6EB" w14:textId="77777777" w:rsidR="002206BB" w:rsidRDefault="002206BB" w:rsidP="00922212">
      <w:pPr>
        <w:autoSpaceDE w:val="0"/>
        <w:autoSpaceDN w:val="0"/>
        <w:adjustRightInd w:val="0"/>
        <w:spacing w:line="480" w:lineRule="auto"/>
        <w:jc w:val="center"/>
        <w:rPr>
          <w:b/>
          <w:color w:val="000000"/>
          <w:sz w:val="24"/>
          <w:szCs w:val="24"/>
        </w:rPr>
      </w:pPr>
    </w:p>
    <w:p w14:paraId="6F2D351E" w14:textId="77777777" w:rsidR="002206BB" w:rsidRDefault="002206BB" w:rsidP="00922212">
      <w:pPr>
        <w:autoSpaceDE w:val="0"/>
        <w:autoSpaceDN w:val="0"/>
        <w:adjustRightInd w:val="0"/>
        <w:spacing w:line="480" w:lineRule="auto"/>
        <w:jc w:val="center"/>
        <w:rPr>
          <w:b/>
          <w:color w:val="000000"/>
          <w:sz w:val="24"/>
          <w:szCs w:val="24"/>
        </w:rPr>
      </w:pPr>
    </w:p>
    <w:p w14:paraId="3CAC50CD" w14:textId="77777777" w:rsidR="002206BB" w:rsidRDefault="002206BB" w:rsidP="00922212">
      <w:pPr>
        <w:autoSpaceDE w:val="0"/>
        <w:autoSpaceDN w:val="0"/>
        <w:adjustRightInd w:val="0"/>
        <w:spacing w:line="480" w:lineRule="auto"/>
        <w:jc w:val="center"/>
        <w:rPr>
          <w:b/>
          <w:color w:val="000000"/>
          <w:sz w:val="24"/>
          <w:szCs w:val="24"/>
        </w:rPr>
      </w:pPr>
    </w:p>
    <w:p w14:paraId="78BAADD9" w14:textId="77777777" w:rsidR="002206BB" w:rsidRPr="00922212" w:rsidRDefault="002206BB" w:rsidP="00922212">
      <w:pPr>
        <w:autoSpaceDE w:val="0"/>
        <w:autoSpaceDN w:val="0"/>
        <w:adjustRightInd w:val="0"/>
        <w:spacing w:line="480" w:lineRule="auto"/>
        <w:jc w:val="center"/>
        <w:rPr>
          <w:b/>
          <w:color w:val="000000"/>
          <w:sz w:val="24"/>
          <w:szCs w:val="24"/>
        </w:rPr>
      </w:pPr>
    </w:p>
    <w:p w14:paraId="68DAA44D" w14:textId="77777777" w:rsidR="008C7BD6" w:rsidRPr="00922212" w:rsidRDefault="008C7BD6" w:rsidP="00922212">
      <w:pPr>
        <w:autoSpaceDE w:val="0"/>
        <w:autoSpaceDN w:val="0"/>
        <w:adjustRightInd w:val="0"/>
        <w:spacing w:line="480" w:lineRule="auto"/>
        <w:jc w:val="center"/>
        <w:rPr>
          <w:b/>
          <w:color w:val="000000"/>
          <w:sz w:val="24"/>
          <w:szCs w:val="24"/>
        </w:rPr>
      </w:pPr>
    </w:p>
    <w:p w14:paraId="30D9C5CC" w14:textId="4FD5321F" w:rsidR="008C7BD6" w:rsidRPr="002206BB" w:rsidRDefault="002206BB" w:rsidP="002206BB">
      <w:pPr>
        <w:jc w:val="center"/>
        <w:rPr>
          <w:b/>
          <w:bCs/>
          <w:i/>
          <w:sz w:val="24"/>
          <w:szCs w:val="24"/>
        </w:rPr>
        <w:sectPr w:rsidR="008C7BD6" w:rsidRPr="002206BB" w:rsidSect="002206BB">
          <w:headerReference w:type="default" r:id="rId8"/>
          <w:footerReference w:type="default" r:id="rId9"/>
          <w:headerReference w:type="first" r:id="rId10"/>
          <w:pgSz w:w="12240" w:h="15840" w:code="1"/>
          <w:pgMar w:top="1440" w:right="1440" w:bottom="1440" w:left="2160" w:header="720" w:footer="720" w:gutter="0"/>
          <w:pgNumType w:start="1"/>
          <w:cols w:space="720"/>
          <w:vAlign w:val="center"/>
          <w:docGrid w:linePitch="360"/>
        </w:sectPr>
      </w:pPr>
      <w:r w:rsidRPr="002206BB">
        <w:rPr>
          <w:b/>
          <w:bCs/>
          <w:color w:val="000000"/>
          <w:sz w:val="24"/>
          <w:szCs w:val="24"/>
        </w:rPr>
        <w:t>MARCH 2024</w:t>
      </w:r>
    </w:p>
    <w:p w14:paraId="2D86008C" w14:textId="77777777" w:rsidR="008C7BD6" w:rsidRDefault="008C7BD6" w:rsidP="002206BB">
      <w:pPr>
        <w:jc w:val="center"/>
        <w:rPr>
          <w:b/>
          <w:bCs/>
          <w:sz w:val="24"/>
          <w:szCs w:val="24"/>
          <w:u w:val="single"/>
        </w:rPr>
      </w:pPr>
      <w:r w:rsidRPr="00922212">
        <w:rPr>
          <w:sz w:val="24"/>
          <w:szCs w:val="24"/>
        </w:rPr>
        <w:br w:type="page"/>
      </w:r>
      <w:bookmarkStart w:id="0" w:name="_Toc192387686"/>
      <w:bookmarkStart w:id="1" w:name="_Toc192393150"/>
      <w:bookmarkStart w:id="2" w:name="_Toc192393611"/>
      <w:r w:rsidRPr="002206BB">
        <w:rPr>
          <w:b/>
          <w:bCs/>
          <w:sz w:val="24"/>
          <w:szCs w:val="24"/>
          <w:u w:val="single"/>
        </w:rPr>
        <w:lastRenderedPageBreak/>
        <w:t>TABLE OF CONTENTS</w:t>
      </w:r>
      <w:bookmarkEnd w:id="0"/>
      <w:bookmarkEnd w:id="1"/>
      <w:bookmarkEnd w:id="2"/>
    </w:p>
    <w:p w14:paraId="423DA304" w14:textId="77777777" w:rsidR="002206BB" w:rsidRPr="00BC201F" w:rsidRDefault="002206BB" w:rsidP="002206BB">
      <w:pPr>
        <w:jc w:val="center"/>
        <w:rPr>
          <w:i/>
          <w:sz w:val="24"/>
          <w:szCs w:val="24"/>
          <w:u w:val="single"/>
        </w:rPr>
      </w:pPr>
    </w:p>
    <w:bookmarkStart w:id="3" w:name="_Hlk159491033" w:displacedByCustomXml="next"/>
    <w:sdt>
      <w:sdtPr>
        <w:rPr>
          <w:b/>
          <w:bCs/>
        </w:rPr>
        <w:id w:val="-520324039"/>
        <w:docPartObj>
          <w:docPartGallery w:val="Table of Contents"/>
          <w:docPartUnique/>
        </w:docPartObj>
      </w:sdtPr>
      <w:sdtEndPr>
        <w:rPr>
          <w:noProof/>
        </w:rPr>
      </w:sdtEndPr>
      <w:sdtContent>
        <w:p w14:paraId="5FC9926B" w14:textId="5797546F" w:rsidR="002206BB" w:rsidRPr="0087657B" w:rsidRDefault="00657353" w:rsidP="002206BB">
          <w:pPr>
            <w:widowControl w:val="0"/>
            <w:tabs>
              <w:tab w:val="left" w:pos="540"/>
              <w:tab w:val="right" w:leader="dot" w:pos="8640"/>
            </w:tabs>
            <w:spacing w:line="480" w:lineRule="auto"/>
            <w:ind w:left="540" w:hanging="540"/>
            <w:rPr>
              <w:bCs/>
              <w:noProof/>
              <w:sz w:val="24"/>
              <w:szCs w:val="24"/>
            </w:rPr>
          </w:pPr>
          <w:hyperlink w:anchor="_Toc264712464" w:history="1">
            <w:r w:rsidR="002206BB" w:rsidRPr="0087657B">
              <w:rPr>
                <w:bCs/>
                <w:noProof/>
                <w:sz w:val="24"/>
                <w:szCs w:val="24"/>
              </w:rPr>
              <w:t>EXECUTIVE SUMMARY</w:t>
            </w:r>
            <w:r w:rsidR="002206BB" w:rsidRPr="0087657B">
              <w:rPr>
                <w:bCs/>
                <w:noProof/>
                <w:webHidden/>
                <w:sz w:val="24"/>
                <w:szCs w:val="24"/>
              </w:rPr>
              <w:tab/>
              <w:t>ES-</w:t>
            </w:r>
          </w:hyperlink>
          <w:r w:rsidR="00040752">
            <w:rPr>
              <w:bCs/>
              <w:noProof/>
              <w:sz w:val="24"/>
              <w:szCs w:val="24"/>
            </w:rPr>
            <w:t>1</w:t>
          </w:r>
          <w:r w:rsidR="00040752" w:rsidRPr="0087657B">
            <w:rPr>
              <w:bCs/>
              <w:noProof/>
              <w:sz w:val="24"/>
              <w:szCs w:val="24"/>
            </w:rPr>
            <w:t xml:space="preserve"> </w:t>
          </w:r>
        </w:p>
        <w:p w14:paraId="1F4C75E8" w14:textId="5AC17456" w:rsidR="00BC201F" w:rsidRPr="0087657B" w:rsidRDefault="00612174" w:rsidP="0087657B">
          <w:pPr>
            <w:pStyle w:val="TOC1"/>
            <w:rPr>
              <w:rFonts w:ascii="Times New Roman" w:eastAsiaTheme="minorEastAsia" w:hAnsi="Times New Roman" w:cstheme="minorBidi"/>
              <w:b w:val="0"/>
              <w:snapToGrid/>
              <w:kern w:val="2"/>
              <w:sz w:val="22"/>
              <w:szCs w:val="22"/>
              <w14:ligatures w14:val="standardContextual"/>
            </w:rPr>
          </w:pPr>
          <w:r w:rsidRPr="0087657B">
            <w:rPr>
              <w:b w:val="0"/>
              <w:noProof w:val="0"/>
              <w:szCs w:val="24"/>
            </w:rPr>
            <w:fldChar w:fldCharType="begin"/>
          </w:r>
          <w:r w:rsidRPr="0087657B">
            <w:rPr>
              <w:b w:val="0"/>
              <w:szCs w:val="24"/>
            </w:rPr>
            <w:instrText xml:space="preserve"> TOC \o "1-3" \h \z \u </w:instrText>
          </w:r>
          <w:r w:rsidRPr="0087657B">
            <w:rPr>
              <w:b w:val="0"/>
              <w:noProof w:val="0"/>
              <w:szCs w:val="24"/>
            </w:rPr>
            <w:fldChar w:fldCharType="separate"/>
          </w:r>
          <w:hyperlink w:anchor="_Toc159491383" w:history="1">
            <w:r w:rsidR="00BC201F" w:rsidRPr="0087657B">
              <w:rPr>
                <w:rStyle w:val="Hyperlink"/>
                <w:rFonts w:ascii="Times New Roman" w:hAnsi="Times New Roman"/>
                <w:b w:val="0"/>
                <w:color w:val="auto"/>
              </w:rPr>
              <w:t>I.</w:t>
            </w:r>
            <w:r w:rsidR="00BC201F" w:rsidRPr="0087657B">
              <w:rPr>
                <w:rFonts w:ascii="Times New Roman" w:eastAsiaTheme="minorEastAsia" w:hAnsi="Times New Roman" w:cstheme="minorBidi"/>
                <w:b w:val="0"/>
                <w:snapToGrid/>
                <w:kern w:val="2"/>
                <w:sz w:val="22"/>
                <w:szCs w:val="22"/>
                <w14:ligatures w14:val="standardContextual"/>
              </w:rPr>
              <w:tab/>
            </w:r>
            <w:r w:rsidR="00BC201F" w:rsidRPr="0087657B">
              <w:rPr>
                <w:rStyle w:val="Hyperlink"/>
                <w:rFonts w:ascii="Times New Roman" w:hAnsi="Times New Roman"/>
                <w:b w:val="0"/>
                <w:caps/>
                <w:color w:val="auto"/>
              </w:rPr>
              <w:t>Introduction</w:t>
            </w:r>
            <w:r w:rsidR="00BC201F" w:rsidRPr="0087657B">
              <w:rPr>
                <w:rFonts w:ascii="Times New Roman" w:hAnsi="Times New Roman"/>
                <w:b w:val="0"/>
                <w:webHidden/>
              </w:rPr>
              <w:tab/>
            </w:r>
            <w:r w:rsidR="00BC201F" w:rsidRPr="0087657B">
              <w:rPr>
                <w:rFonts w:ascii="Times New Roman" w:hAnsi="Times New Roman"/>
                <w:b w:val="0"/>
                <w:webHidden/>
              </w:rPr>
              <w:fldChar w:fldCharType="begin"/>
            </w:r>
            <w:r w:rsidR="00BC201F" w:rsidRPr="0087657B">
              <w:rPr>
                <w:rFonts w:ascii="Times New Roman" w:hAnsi="Times New Roman"/>
                <w:b w:val="0"/>
                <w:webHidden/>
              </w:rPr>
              <w:instrText xml:space="preserve"> PAGEREF _Toc159491383 \h </w:instrText>
            </w:r>
            <w:r w:rsidR="00BC201F" w:rsidRPr="0087657B">
              <w:rPr>
                <w:rFonts w:ascii="Times New Roman" w:hAnsi="Times New Roman"/>
                <w:b w:val="0"/>
                <w:webHidden/>
              </w:rPr>
            </w:r>
            <w:r w:rsidR="00BC201F" w:rsidRPr="0087657B">
              <w:rPr>
                <w:rFonts w:ascii="Times New Roman" w:hAnsi="Times New Roman"/>
                <w:b w:val="0"/>
                <w:webHidden/>
              </w:rPr>
              <w:fldChar w:fldCharType="separate"/>
            </w:r>
            <w:r w:rsidR="00657353">
              <w:rPr>
                <w:rFonts w:ascii="Times New Roman" w:hAnsi="Times New Roman"/>
                <w:b w:val="0"/>
                <w:webHidden/>
              </w:rPr>
              <w:t>1</w:t>
            </w:r>
            <w:r w:rsidR="00BC201F" w:rsidRPr="0087657B">
              <w:rPr>
                <w:rFonts w:ascii="Times New Roman" w:hAnsi="Times New Roman"/>
                <w:b w:val="0"/>
                <w:webHidden/>
              </w:rPr>
              <w:fldChar w:fldCharType="end"/>
            </w:r>
          </w:hyperlink>
        </w:p>
        <w:p w14:paraId="5353F635" w14:textId="5AA78B23" w:rsidR="00BC201F" w:rsidRPr="0087657B" w:rsidRDefault="00657353" w:rsidP="0087657B">
          <w:pPr>
            <w:pStyle w:val="TOC1"/>
            <w:rPr>
              <w:rFonts w:ascii="Times New Roman" w:eastAsiaTheme="minorEastAsia" w:hAnsi="Times New Roman" w:cstheme="minorBidi"/>
              <w:b w:val="0"/>
              <w:snapToGrid/>
              <w:kern w:val="2"/>
              <w:sz w:val="22"/>
              <w:szCs w:val="22"/>
              <w14:ligatures w14:val="standardContextual"/>
            </w:rPr>
          </w:pPr>
          <w:hyperlink w:anchor="_Toc159491384" w:history="1">
            <w:r w:rsidR="00BC201F" w:rsidRPr="0087657B">
              <w:rPr>
                <w:rStyle w:val="Hyperlink"/>
                <w:rFonts w:ascii="Times New Roman" w:hAnsi="Times New Roman"/>
                <w:b w:val="0"/>
                <w:color w:val="auto"/>
              </w:rPr>
              <w:t>II.</w:t>
            </w:r>
            <w:r w:rsidR="00BC201F" w:rsidRPr="0087657B">
              <w:rPr>
                <w:rFonts w:ascii="Times New Roman" w:eastAsiaTheme="minorEastAsia" w:hAnsi="Times New Roman" w:cstheme="minorBidi"/>
                <w:b w:val="0"/>
                <w:snapToGrid/>
                <w:kern w:val="2"/>
                <w:sz w:val="22"/>
                <w:szCs w:val="22"/>
                <w14:ligatures w14:val="standardContextual"/>
              </w:rPr>
              <w:tab/>
            </w:r>
            <w:r w:rsidR="00BC201F" w:rsidRPr="0087657B">
              <w:rPr>
                <w:rStyle w:val="Hyperlink"/>
                <w:rFonts w:ascii="Times New Roman" w:hAnsi="Times New Roman"/>
                <w:b w:val="0"/>
                <w:caps/>
                <w:color w:val="auto"/>
              </w:rPr>
              <w:t>Purpose and Scope of Testimony</w:t>
            </w:r>
            <w:r w:rsidR="00BC201F" w:rsidRPr="0087657B">
              <w:rPr>
                <w:rFonts w:ascii="Times New Roman" w:hAnsi="Times New Roman"/>
                <w:b w:val="0"/>
                <w:webHidden/>
              </w:rPr>
              <w:tab/>
            </w:r>
            <w:r w:rsidR="00BC201F" w:rsidRPr="0087657B">
              <w:rPr>
                <w:rFonts w:ascii="Times New Roman" w:hAnsi="Times New Roman"/>
                <w:b w:val="0"/>
                <w:webHidden/>
              </w:rPr>
              <w:fldChar w:fldCharType="begin"/>
            </w:r>
            <w:r w:rsidR="00BC201F" w:rsidRPr="0087657B">
              <w:rPr>
                <w:rFonts w:ascii="Times New Roman" w:hAnsi="Times New Roman"/>
                <w:b w:val="0"/>
                <w:webHidden/>
              </w:rPr>
              <w:instrText xml:space="preserve"> PAGEREF _Toc159491384 \h </w:instrText>
            </w:r>
            <w:r w:rsidR="00BC201F" w:rsidRPr="0087657B">
              <w:rPr>
                <w:rFonts w:ascii="Times New Roman" w:hAnsi="Times New Roman"/>
                <w:b w:val="0"/>
                <w:webHidden/>
              </w:rPr>
            </w:r>
            <w:r w:rsidR="00BC201F" w:rsidRPr="0087657B">
              <w:rPr>
                <w:rFonts w:ascii="Times New Roman" w:hAnsi="Times New Roman"/>
                <w:b w:val="0"/>
                <w:webHidden/>
              </w:rPr>
              <w:fldChar w:fldCharType="separate"/>
            </w:r>
            <w:r>
              <w:rPr>
                <w:rFonts w:ascii="Times New Roman" w:hAnsi="Times New Roman"/>
                <w:b w:val="0"/>
                <w:webHidden/>
              </w:rPr>
              <w:t>2</w:t>
            </w:r>
            <w:r w:rsidR="00BC201F" w:rsidRPr="0087657B">
              <w:rPr>
                <w:rFonts w:ascii="Times New Roman" w:hAnsi="Times New Roman"/>
                <w:b w:val="0"/>
                <w:webHidden/>
              </w:rPr>
              <w:fldChar w:fldCharType="end"/>
            </w:r>
          </w:hyperlink>
        </w:p>
        <w:p w14:paraId="5719408B" w14:textId="3915FEB8" w:rsidR="00BC201F" w:rsidRPr="0087657B" w:rsidRDefault="00657353" w:rsidP="0087657B">
          <w:pPr>
            <w:pStyle w:val="TOC1"/>
            <w:rPr>
              <w:rFonts w:asciiTheme="minorHAnsi" w:eastAsiaTheme="minorEastAsia" w:hAnsiTheme="minorHAnsi" w:cstheme="minorBidi"/>
              <w:b w:val="0"/>
              <w:snapToGrid/>
              <w:kern w:val="2"/>
              <w:sz w:val="22"/>
              <w:szCs w:val="22"/>
              <w14:ligatures w14:val="standardContextual"/>
            </w:rPr>
          </w:pPr>
          <w:hyperlink w:anchor="_Toc159491385" w:history="1">
            <w:r w:rsidR="00BC201F" w:rsidRPr="0087657B">
              <w:rPr>
                <w:rStyle w:val="Hyperlink"/>
                <w:rFonts w:ascii="Times New Roman" w:hAnsi="Times New Roman"/>
                <w:b w:val="0"/>
                <w:color w:val="auto"/>
              </w:rPr>
              <w:t>III.</w:t>
            </w:r>
            <w:r w:rsidR="00BC201F" w:rsidRPr="0087657B">
              <w:rPr>
                <w:rFonts w:ascii="Times New Roman" w:eastAsiaTheme="minorEastAsia" w:hAnsi="Times New Roman" w:cstheme="minorBidi"/>
                <w:b w:val="0"/>
                <w:snapToGrid/>
                <w:kern w:val="2"/>
                <w:sz w:val="22"/>
                <w:szCs w:val="22"/>
                <w14:ligatures w14:val="standardContextual"/>
              </w:rPr>
              <w:tab/>
            </w:r>
            <w:r w:rsidR="00BC201F" w:rsidRPr="0087657B">
              <w:rPr>
                <w:rStyle w:val="Hyperlink"/>
                <w:rFonts w:ascii="Times New Roman" w:hAnsi="Times New Roman"/>
                <w:b w:val="0"/>
                <w:caps/>
                <w:color w:val="auto"/>
              </w:rPr>
              <w:t>Organization, Functions, and Costs of EMO</w:t>
            </w:r>
            <w:r w:rsidR="00BC201F" w:rsidRPr="0087657B">
              <w:rPr>
                <w:rFonts w:ascii="Times New Roman" w:hAnsi="Times New Roman"/>
                <w:b w:val="0"/>
                <w:webHidden/>
              </w:rPr>
              <w:tab/>
            </w:r>
            <w:r w:rsidR="00BC201F" w:rsidRPr="0087657B">
              <w:rPr>
                <w:rFonts w:ascii="Times New Roman" w:hAnsi="Times New Roman"/>
                <w:b w:val="0"/>
                <w:webHidden/>
              </w:rPr>
              <w:fldChar w:fldCharType="begin"/>
            </w:r>
            <w:r w:rsidR="00BC201F" w:rsidRPr="0087657B">
              <w:rPr>
                <w:rFonts w:ascii="Times New Roman" w:hAnsi="Times New Roman"/>
                <w:b w:val="0"/>
                <w:webHidden/>
              </w:rPr>
              <w:instrText xml:space="preserve"> PAGEREF _Toc159491385 \h </w:instrText>
            </w:r>
            <w:r w:rsidR="00BC201F" w:rsidRPr="0087657B">
              <w:rPr>
                <w:rFonts w:ascii="Times New Roman" w:hAnsi="Times New Roman"/>
                <w:b w:val="0"/>
                <w:webHidden/>
              </w:rPr>
            </w:r>
            <w:r w:rsidR="00BC201F" w:rsidRPr="0087657B">
              <w:rPr>
                <w:rFonts w:ascii="Times New Roman" w:hAnsi="Times New Roman"/>
                <w:b w:val="0"/>
                <w:webHidden/>
              </w:rPr>
              <w:fldChar w:fldCharType="separate"/>
            </w:r>
            <w:r>
              <w:rPr>
                <w:rFonts w:ascii="Times New Roman" w:hAnsi="Times New Roman"/>
                <w:b w:val="0"/>
                <w:webHidden/>
              </w:rPr>
              <w:t>4</w:t>
            </w:r>
            <w:r w:rsidR="00BC201F" w:rsidRPr="0087657B">
              <w:rPr>
                <w:rFonts w:ascii="Times New Roman" w:hAnsi="Times New Roman"/>
                <w:b w:val="0"/>
                <w:webHidden/>
              </w:rPr>
              <w:fldChar w:fldCharType="end"/>
            </w:r>
          </w:hyperlink>
        </w:p>
        <w:p w14:paraId="7ECE06E8" w14:textId="06DFD553" w:rsidR="00BC201F" w:rsidRPr="0087657B" w:rsidRDefault="00657353">
          <w:pPr>
            <w:pStyle w:val="TOC2"/>
            <w:rPr>
              <w:rFonts w:asciiTheme="minorHAnsi" w:eastAsiaTheme="minorEastAsia" w:hAnsiTheme="minorHAnsi" w:cstheme="minorBidi"/>
              <w:b w:val="0"/>
              <w:bCs/>
              <w:kern w:val="2"/>
              <w:sz w:val="22"/>
              <w:szCs w:val="22"/>
              <w14:ligatures w14:val="standardContextual"/>
            </w:rPr>
          </w:pPr>
          <w:hyperlink w:anchor="_Toc159491386" w:history="1">
            <w:r w:rsidR="00BC201F" w:rsidRPr="0087657B">
              <w:rPr>
                <w:rStyle w:val="Hyperlink"/>
                <w:b w:val="0"/>
                <w:bCs/>
                <w:color w:val="auto"/>
                <w14:scene3d>
                  <w14:camera w14:prst="orthographicFront"/>
                  <w14:lightRig w14:rig="threePt" w14:dir="t">
                    <w14:rot w14:lat="0" w14:lon="0" w14:rev="0"/>
                  </w14:lightRig>
                </w14:scene3d>
              </w:rPr>
              <w:t>A.</w:t>
            </w:r>
            <w:r w:rsidR="00BC201F" w:rsidRPr="0087657B">
              <w:rPr>
                <w:rFonts w:asciiTheme="minorHAnsi" w:eastAsiaTheme="minorEastAsia" w:hAnsiTheme="minorHAnsi" w:cstheme="minorBidi"/>
                <w:b w:val="0"/>
                <w:bCs/>
                <w:kern w:val="2"/>
                <w:sz w:val="22"/>
                <w:szCs w:val="22"/>
                <w14:ligatures w14:val="standardContextual"/>
              </w:rPr>
              <w:tab/>
            </w:r>
            <w:r w:rsidR="00BC201F" w:rsidRPr="0087657B">
              <w:rPr>
                <w:rStyle w:val="Hyperlink"/>
                <w:b w:val="0"/>
                <w:bCs/>
                <w:color w:val="auto"/>
              </w:rPr>
              <w:t>TRANSACTION MANAGEMENT</w:t>
            </w:r>
            <w:r w:rsidR="00BC201F" w:rsidRPr="0087657B">
              <w:rPr>
                <w:b w:val="0"/>
                <w:bCs/>
                <w:webHidden/>
              </w:rPr>
              <w:tab/>
            </w:r>
            <w:r w:rsidR="00BC201F" w:rsidRPr="0087657B">
              <w:rPr>
                <w:b w:val="0"/>
                <w:bCs/>
                <w:webHidden/>
              </w:rPr>
              <w:fldChar w:fldCharType="begin"/>
            </w:r>
            <w:r w:rsidR="00BC201F" w:rsidRPr="0087657B">
              <w:rPr>
                <w:b w:val="0"/>
                <w:bCs/>
                <w:webHidden/>
              </w:rPr>
              <w:instrText xml:space="preserve"> PAGEREF _Toc159491386 \h </w:instrText>
            </w:r>
            <w:r w:rsidR="00BC201F" w:rsidRPr="0087657B">
              <w:rPr>
                <w:b w:val="0"/>
                <w:bCs/>
                <w:webHidden/>
              </w:rPr>
            </w:r>
            <w:r w:rsidR="00BC201F" w:rsidRPr="0087657B">
              <w:rPr>
                <w:b w:val="0"/>
                <w:bCs/>
                <w:webHidden/>
              </w:rPr>
              <w:fldChar w:fldCharType="separate"/>
            </w:r>
            <w:r>
              <w:rPr>
                <w:b w:val="0"/>
                <w:bCs/>
                <w:webHidden/>
              </w:rPr>
              <w:t>5</w:t>
            </w:r>
            <w:r w:rsidR="00BC201F" w:rsidRPr="0087657B">
              <w:rPr>
                <w:b w:val="0"/>
                <w:bCs/>
                <w:webHidden/>
              </w:rPr>
              <w:fldChar w:fldCharType="end"/>
            </w:r>
          </w:hyperlink>
        </w:p>
        <w:p w14:paraId="40EC007F" w14:textId="3D55BEBC" w:rsidR="00BC201F" w:rsidRPr="0087657B" w:rsidRDefault="00657353" w:rsidP="00BC201F">
          <w:pPr>
            <w:pStyle w:val="TOC2"/>
            <w:ind w:firstLine="900"/>
            <w:rPr>
              <w:rFonts w:asciiTheme="minorHAnsi" w:eastAsiaTheme="minorEastAsia" w:hAnsiTheme="minorHAnsi" w:cstheme="minorBidi"/>
              <w:b w:val="0"/>
              <w:bCs/>
              <w:kern w:val="2"/>
              <w:sz w:val="22"/>
              <w:szCs w:val="22"/>
              <w14:ligatures w14:val="standardContextual"/>
            </w:rPr>
          </w:pPr>
          <w:hyperlink w:anchor="_Toc159491387" w:history="1">
            <w:r w:rsidR="00BC201F" w:rsidRPr="0087657B">
              <w:rPr>
                <w:rStyle w:val="Hyperlink"/>
                <w:b w:val="0"/>
                <w:bCs/>
                <w:color w:val="auto"/>
              </w:rPr>
              <w:t>1.</w:t>
            </w:r>
            <w:r w:rsidR="00BC201F" w:rsidRPr="0087657B">
              <w:rPr>
                <w:rFonts w:asciiTheme="minorHAnsi" w:eastAsiaTheme="minorEastAsia" w:hAnsiTheme="minorHAnsi" w:cstheme="minorBidi"/>
                <w:b w:val="0"/>
                <w:bCs/>
                <w:kern w:val="2"/>
                <w:sz w:val="22"/>
                <w:szCs w:val="22"/>
                <w14:ligatures w14:val="standardContextual"/>
              </w:rPr>
              <w:tab/>
            </w:r>
            <w:r w:rsidR="00BC201F" w:rsidRPr="0087657B">
              <w:rPr>
                <w:rStyle w:val="Hyperlink"/>
                <w:b w:val="0"/>
                <w:bCs/>
                <w:color w:val="auto"/>
              </w:rPr>
              <w:t>Enrollment Transaction Management</w:t>
            </w:r>
            <w:r w:rsidR="00BC201F" w:rsidRPr="0087657B">
              <w:rPr>
                <w:b w:val="0"/>
                <w:bCs/>
                <w:webHidden/>
              </w:rPr>
              <w:tab/>
            </w:r>
            <w:r w:rsidR="00BC201F" w:rsidRPr="0087657B">
              <w:rPr>
                <w:b w:val="0"/>
                <w:bCs/>
                <w:webHidden/>
              </w:rPr>
              <w:fldChar w:fldCharType="begin"/>
            </w:r>
            <w:r w:rsidR="00BC201F" w:rsidRPr="0087657B">
              <w:rPr>
                <w:b w:val="0"/>
                <w:bCs/>
                <w:webHidden/>
              </w:rPr>
              <w:instrText xml:space="preserve"> PAGEREF _Toc159491387 \h </w:instrText>
            </w:r>
            <w:r w:rsidR="00BC201F" w:rsidRPr="0087657B">
              <w:rPr>
                <w:b w:val="0"/>
                <w:bCs/>
                <w:webHidden/>
              </w:rPr>
            </w:r>
            <w:r w:rsidR="00BC201F" w:rsidRPr="0087657B">
              <w:rPr>
                <w:b w:val="0"/>
                <w:bCs/>
                <w:webHidden/>
              </w:rPr>
              <w:fldChar w:fldCharType="separate"/>
            </w:r>
            <w:r>
              <w:rPr>
                <w:b w:val="0"/>
                <w:bCs/>
                <w:webHidden/>
              </w:rPr>
              <w:t>5</w:t>
            </w:r>
            <w:r w:rsidR="00BC201F" w:rsidRPr="0087657B">
              <w:rPr>
                <w:b w:val="0"/>
                <w:bCs/>
                <w:webHidden/>
              </w:rPr>
              <w:fldChar w:fldCharType="end"/>
            </w:r>
          </w:hyperlink>
        </w:p>
        <w:p w14:paraId="38DBD8AF" w14:textId="44001438" w:rsidR="00BC201F" w:rsidRPr="0087657B" w:rsidRDefault="00657353" w:rsidP="00BC201F">
          <w:pPr>
            <w:pStyle w:val="TOC2"/>
            <w:ind w:firstLine="900"/>
            <w:rPr>
              <w:rFonts w:asciiTheme="minorHAnsi" w:eastAsiaTheme="minorEastAsia" w:hAnsiTheme="minorHAnsi" w:cstheme="minorBidi"/>
              <w:b w:val="0"/>
              <w:bCs/>
              <w:kern w:val="2"/>
              <w:sz w:val="22"/>
              <w:szCs w:val="22"/>
              <w14:ligatures w14:val="standardContextual"/>
            </w:rPr>
          </w:pPr>
          <w:hyperlink w:anchor="_Toc159491388" w:history="1">
            <w:r w:rsidR="00BC201F" w:rsidRPr="0087657B">
              <w:rPr>
                <w:rStyle w:val="Hyperlink"/>
                <w:b w:val="0"/>
                <w:bCs/>
                <w:color w:val="auto"/>
              </w:rPr>
              <w:t>2.</w:t>
            </w:r>
            <w:r w:rsidR="00BC201F" w:rsidRPr="0087657B">
              <w:rPr>
                <w:rFonts w:asciiTheme="minorHAnsi" w:eastAsiaTheme="minorEastAsia" w:hAnsiTheme="minorHAnsi" w:cstheme="minorBidi"/>
                <w:b w:val="0"/>
                <w:bCs/>
                <w:kern w:val="2"/>
                <w:sz w:val="22"/>
                <w:szCs w:val="22"/>
                <w14:ligatures w14:val="standardContextual"/>
              </w:rPr>
              <w:tab/>
            </w:r>
            <w:r w:rsidR="00BC201F" w:rsidRPr="0087657B">
              <w:rPr>
                <w:rStyle w:val="Hyperlink"/>
                <w:b w:val="0"/>
                <w:bCs/>
                <w:color w:val="auto"/>
              </w:rPr>
              <w:t>Service Order Transaction Management</w:t>
            </w:r>
            <w:r w:rsidR="00BC201F" w:rsidRPr="0087657B">
              <w:rPr>
                <w:b w:val="0"/>
                <w:bCs/>
                <w:webHidden/>
              </w:rPr>
              <w:tab/>
            </w:r>
            <w:r w:rsidR="00BC201F" w:rsidRPr="0087657B">
              <w:rPr>
                <w:b w:val="0"/>
                <w:bCs/>
                <w:webHidden/>
              </w:rPr>
              <w:fldChar w:fldCharType="begin"/>
            </w:r>
            <w:r w:rsidR="00BC201F" w:rsidRPr="0087657B">
              <w:rPr>
                <w:b w:val="0"/>
                <w:bCs/>
                <w:webHidden/>
              </w:rPr>
              <w:instrText xml:space="preserve"> PAGEREF _Toc159491388 \h </w:instrText>
            </w:r>
            <w:r w:rsidR="00BC201F" w:rsidRPr="0087657B">
              <w:rPr>
                <w:b w:val="0"/>
                <w:bCs/>
                <w:webHidden/>
              </w:rPr>
            </w:r>
            <w:r w:rsidR="00BC201F" w:rsidRPr="0087657B">
              <w:rPr>
                <w:b w:val="0"/>
                <w:bCs/>
                <w:webHidden/>
              </w:rPr>
              <w:fldChar w:fldCharType="separate"/>
            </w:r>
            <w:r>
              <w:rPr>
                <w:b w:val="0"/>
                <w:bCs/>
                <w:webHidden/>
              </w:rPr>
              <w:t>6</w:t>
            </w:r>
            <w:r w:rsidR="00BC201F" w:rsidRPr="0087657B">
              <w:rPr>
                <w:b w:val="0"/>
                <w:bCs/>
                <w:webHidden/>
              </w:rPr>
              <w:fldChar w:fldCharType="end"/>
            </w:r>
          </w:hyperlink>
        </w:p>
        <w:p w14:paraId="65149587" w14:textId="784051D4" w:rsidR="00BC201F" w:rsidRPr="0087657B" w:rsidRDefault="00657353" w:rsidP="00BC201F">
          <w:pPr>
            <w:pStyle w:val="TOC2"/>
            <w:ind w:firstLine="900"/>
            <w:rPr>
              <w:rFonts w:asciiTheme="minorHAnsi" w:eastAsiaTheme="minorEastAsia" w:hAnsiTheme="minorHAnsi" w:cstheme="minorBidi"/>
              <w:b w:val="0"/>
              <w:bCs/>
              <w:kern w:val="2"/>
              <w:sz w:val="22"/>
              <w:szCs w:val="22"/>
              <w14:ligatures w14:val="standardContextual"/>
            </w:rPr>
          </w:pPr>
          <w:hyperlink w:anchor="_Toc159491389" w:history="1">
            <w:r w:rsidR="00BC201F" w:rsidRPr="0087657B">
              <w:rPr>
                <w:rStyle w:val="Hyperlink"/>
                <w:b w:val="0"/>
                <w:bCs/>
                <w:color w:val="auto"/>
              </w:rPr>
              <w:t>3.</w:t>
            </w:r>
            <w:r w:rsidR="00BC201F" w:rsidRPr="0087657B">
              <w:rPr>
                <w:rFonts w:asciiTheme="minorHAnsi" w:eastAsiaTheme="minorEastAsia" w:hAnsiTheme="minorHAnsi" w:cstheme="minorBidi"/>
                <w:b w:val="0"/>
                <w:bCs/>
                <w:kern w:val="2"/>
                <w:sz w:val="22"/>
                <w:szCs w:val="22"/>
                <w14:ligatures w14:val="standardContextual"/>
              </w:rPr>
              <w:tab/>
            </w:r>
            <w:r w:rsidR="00BC201F" w:rsidRPr="0087657B">
              <w:rPr>
                <w:rStyle w:val="Hyperlink"/>
                <w:b w:val="0"/>
                <w:bCs/>
                <w:color w:val="auto"/>
              </w:rPr>
              <w:t>Billing &amp; Usage Transaction Management</w:t>
            </w:r>
            <w:r w:rsidR="00BC201F" w:rsidRPr="0087657B">
              <w:rPr>
                <w:b w:val="0"/>
                <w:bCs/>
                <w:webHidden/>
              </w:rPr>
              <w:tab/>
            </w:r>
            <w:r w:rsidR="00BC201F" w:rsidRPr="0087657B">
              <w:rPr>
                <w:b w:val="0"/>
                <w:bCs/>
                <w:webHidden/>
              </w:rPr>
              <w:fldChar w:fldCharType="begin"/>
            </w:r>
            <w:r w:rsidR="00BC201F" w:rsidRPr="0087657B">
              <w:rPr>
                <w:b w:val="0"/>
                <w:bCs/>
                <w:webHidden/>
              </w:rPr>
              <w:instrText xml:space="preserve"> PAGEREF _Toc159491389 \h </w:instrText>
            </w:r>
            <w:r w:rsidR="00BC201F" w:rsidRPr="0087657B">
              <w:rPr>
                <w:b w:val="0"/>
                <w:bCs/>
                <w:webHidden/>
              </w:rPr>
            </w:r>
            <w:r w:rsidR="00BC201F" w:rsidRPr="0087657B">
              <w:rPr>
                <w:b w:val="0"/>
                <w:bCs/>
                <w:webHidden/>
              </w:rPr>
              <w:fldChar w:fldCharType="separate"/>
            </w:r>
            <w:r>
              <w:rPr>
                <w:b w:val="0"/>
                <w:bCs/>
                <w:webHidden/>
              </w:rPr>
              <w:t>8</w:t>
            </w:r>
            <w:r w:rsidR="00BC201F" w:rsidRPr="0087657B">
              <w:rPr>
                <w:b w:val="0"/>
                <w:bCs/>
                <w:webHidden/>
              </w:rPr>
              <w:fldChar w:fldCharType="end"/>
            </w:r>
          </w:hyperlink>
        </w:p>
        <w:p w14:paraId="61B941B8" w14:textId="7459664C" w:rsidR="00BC201F" w:rsidRPr="0087657B" w:rsidRDefault="00657353" w:rsidP="00BC201F">
          <w:pPr>
            <w:pStyle w:val="TOC2"/>
            <w:ind w:firstLine="900"/>
            <w:rPr>
              <w:rFonts w:asciiTheme="minorHAnsi" w:eastAsiaTheme="minorEastAsia" w:hAnsiTheme="minorHAnsi" w:cstheme="minorBidi"/>
              <w:b w:val="0"/>
              <w:bCs/>
              <w:kern w:val="2"/>
              <w:sz w:val="22"/>
              <w:szCs w:val="22"/>
              <w14:ligatures w14:val="standardContextual"/>
            </w:rPr>
          </w:pPr>
          <w:hyperlink w:anchor="_Toc159491390" w:history="1">
            <w:r w:rsidR="00BC201F" w:rsidRPr="0087657B">
              <w:rPr>
                <w:rStyle w:val="Hyperlink"/>
                <w:b w:val="0"/>
                <w:bCs/>
                <w:color w:val="auto"/>
              </w:rPr>
              <w:t>4.</w:t>
            </w:r>
            <w:r w:rsidR="00BC201F" w:rsidRPr="0087657B">
              <w:rPr>
                <w:rFonts w:asciiTheme="minorHAnsi" w:eastAsiaTheme="minorEastAsia" w:hAnsiTheme="minorHAnsi" w:cstheme="minorBidi"/>
                <w:b w:val="0"/>
                <w:bCs/>
                <w:kern w:val="2"/>
                <w:sz w:val="22"/>
                <w:szCs w:val="22"/>
                <w14:ligatures w14:val="standardContextual"/>
              </w:rPr>
              <w:tab/>
            </w:r>
            <w:r w:rsidR="00BC201F" w:rsidRPr="0087657B">
              <w:rPr>
                <w:rStyle w:val="Hyperlink"/>
                <w:b w:val="0"/>
                <w:bCs/>
                <w:color w:val="auto"/>
              </w:rPr>
              <w:t>Issue Resolution</w:t>
            </w:r>
            <w:r w:rsidR="00BC201F" w:rsidRPr="0087657B">
              <w:rPr>
                <w:b w:val="0"/>
                <w:bCs/>
                <w:webHidden/>
              </w:rPr>
              <w:tab/>
            </w:r>
            <w:r w:rsidR="00BC201F" w:rsidRPr="0087657B">
              <w:rPr>
                <w:b w:val="0"/>
                <w:bCs/>
                <w:webHidden/>
              </w:rPr>
              <w:fldChar w:fldCharType="begin"/>
            </w:r>
            <w:r w:rsidR="00BC201F" w:rsidRPr="0087657B">
              <w:rPr>
                <w:b w:val="0"/>
                <w:bCs/>
                <w:webHidden/>
              </w:rPr>
              <w:instrText xml:space="preserve"> PAGEREF _Toc159491390 \h </w:instrText>
            </w:r>
            <w:r w:rsidR="00BC201F" w:rsidRPr="0087657B">
              <w:rPr>
                <w:b w:val="0"/>
                <w:bCs/>
                <w:webHidden/>
              </w:rPr>
            </w:r>
            <w:r w:rsidR="00BC201F" w:rsidRPr="0087657B">
              <w:rPr>
                <w:b w:val="0"/>
                <w:bCs/>
                <w:webHidden/>
              </w:rPr>
              <w:fldChar w:fldCharType="separate"/>
            </w:r>
            <w:r>
              <w:rPr>
                <w:b w:val="0"/>
                <w:bCs/>
                <w:webHidden/>
              </w:rPr>
              <w:t>9</w:t>
            </w:r>
            <w:r w:rsidR="00BC201F" w:rsidRPr="0087657B">
              <w:rPr>
                <w:b w:val="0"/>
                <w:bCs/>
                <w:webHidden/>
              </w:rPr>
              <w:fldChar w:fldCharType="end"/>
            </w:r>
          </w:hyperlink>
        </w:p>
        <w:p w14:paraId="1B1B1C58" w14:textId="02595701" w:rsidR="00BC201F" w:rsidRPr="0087657B" w:rsidRDefault="00657353">
          <w:pPr>
            <w:pStyle w:val="TOC2"/>
            <w:rPr>
              <w:rFonts w:asciiTheme="minorHAnsi" w:eastAsiaTheme="minorEastAsia" w:hAnsiTheme="minorHAnsi" w:cstheme="minorBidi"/>
              <w:b w:val="0"/>
              <w:bCs/>
              <w:kern w:val="2"/>
              <w:sz w:val="22"/>
              <w:szCs w:val="22"/>
              <w14:ligatures w14:val="standardContextual"/>
            </w:rPr>
          </w:pPr>
          <w:hyperlink w:anchor="_Toc159491391" w:history="1">
            <w:r w:rsidR="00BC201F" w:rsidRPr="0087657B">
              <w:rPr>
                <w:rStyle w:val="Hyperlink"/>
                <w:b w:val="0"/>
                <w:bCs/>
                <w:color w:val="auto"/>
                <w14:scene3d>
                  <w14:camera w14:prst="orthographicFront"/>
                  <w14:lightRig w14:rig="threePt" w14:dir="t">
                    <w14:rot w14:lat="0" w14:lon="0" w14:rev="0"/>
                  </w14:lightRig>
                </w14:scene3d>
              </w:rPr>
              <w:t>B.</w:t>
            </w:r>
            <w:r w:rsidR="00BC201F" w:rsidRPr="0087657B">
              <w:rPr>
                <w:rFonts w:asciiTheme="minorHAnsi" w:eastAsiaTheme="minorEastAsia" w:hAnsiTheme="minorHAnsi" w:cstheme="minorBidi"/>
                <w:b w:val="0"/>
                <w:bCs/>
                <w:kern w:val="2"/>
                <w:sz w:val="22"/>
                <w:szCs w:val="22"/>
                <w14:ligatures w14:val="standardContextual"/>
              </w:rPr>
              <w:tab/>
            </w:r>
            <w:r w:rsidR="00BC201F" w:rsidRPr="0087657B">
              <w:rPr>
                <w:rStyle w:val="Hyperlink"/>
                <w:b w:val="0"/>
                <w:bCs/>
                <w:caps/>
                <w:color w:val="auto"/>
              </w:rPr>
              <w:t>Business Consulting</w:t>
            </w:r>
            <w:r w:rsidR="00BC201F" w:rsidRPr="0087657B">
              <w:rPr>
                <w:b w:val="0"/>
                <w:bCs/>
                <w:webHidden/>
              </w:rPr>
              <w:tab/>
            </w:r>
            <w:r w:rsidR="00BC201F" w:rsidRPr="0087657B">
              <w:rPr>
                <w:b w:val="0"/>
                <w:bCs/>
                <w:webHidden/>
              </w:rPr>
              <w:fldChar w:fldCharType="begin"/>
            </w:r>
            <w:r w:rsidR="00BC201F" w:rsidRPr="0087657B">
              <w:rPr>
                <w:b w:val="0"/>
                <w:bCs/>
                <w:webHidden/>
              </w:rPr>
              <w:instrText xml:space="preserve"> PAGEREF _Toc159491391 \h </w:instrText>
            </w:r>
            <w:r w:rsidR="00BC201F" w:rsidRPr="0087657B">
              <w:rPr>
                <w:b w:val="0"/>
                <w:bCs/>
                <w:webHidden/>
              </w:rPr>
            </w:r>
            <w:r w:rsidR="00BC201F" w:rsidRPr="0087657B">
              <w:rPr>
                <w:b w:val="0"/>
                <w:bCs/>
                <w:webHidden/>
              </w:rPr>
              <w:fldChar w:fldCharType="separate"/>
            </w:r>
            <w:r>
              <w:rPr>
                <w:b w:val="0"/>
                <w:bCs/>
                <w:webHidden/>
              </w:rPr>
              <w:t>11</w:t>
            </w:r>
            <w:r w:rsidR="00BC201F" w:rsidRPr="0087657B">
              <w:rPr>
                <w:b w:val="0"/>
                <w:bCs/>
                <w:webHidden/>
              </w:rPr>
              <w:fldChar w:fldCharType="end"/>
            </w:r>
          </w:hyperlink>
        </w:p>
        <w:p w14:paraId="7A1B100A" w14:textId="0FCCB27F" w:rsidR="00BC201F" w:rsidRPr="0087657B" w:rsidRDefault="00657353">
          <w:pPr>
            <w:pStyle w:val="TOC2"/>
            <w:rPr>
              <w:rFonts w:asciiTheme="minorHAnsi" w:eastAsiaTheme="minorEastAsia" w:hAnsiTheme="minorHAnsi" w:cstheme="minorBidi"/>
              <w:b w:val="0"/>
              <w:bCs/>
              <w:kern w:val="2"/>
              <w:sz w:val="22"/>
              <w:szCs w:val="22"/>
              <w14:ligatures w14:val="standardContextual"/>
            </w:rPr>
          </w:pPr>
          <w:hyperlink w:anchor="_Toc159491392" w:history="1">
            <w:r w:rsidR="00BC201F" w:rsidRPr="0087657B">
              <w:rPr>
                <w:rStyle w:val="Hyperlink"/>
                <w:b w:val="0"/>
                <w:bCs/>
                <w:caps/>
                <w:color w:val="auto"/>
              </w:rPr>
              <w:t>C.</w:t>
            </w:r>
            <w:r w:rsidR="00BC201F" w:rsidRPr="0087657B">
              <w:rPr>
                <w:rFonts w:asciiTheme="minorHAnsi" w:eastAsiaTheme="minorEastAsia" w:hAnsiTheme="minorHAnsi" w:cstheme="minorBidi"/>
                <w:b w:val="0"/>
                <w:bCs/>
                <w:kern w:val="2"/>
                <w:sz w:val="22"/>
                <w:szCs w:val="22"/>
                <w14:ligatures w14:val="standardContextual"/>
              </w:rPr>
              <w:tab/>
            </w:r>
            <w:r w:rsidR="00BC201F" w:rsidRPr="0087657B">
              <w:rPr>
                <w:rStyle w:val="Hyperlink"/>
                <w:b w:val="0"/>
                <w:bCs/>
                <w:caps/>
                <w:color w:val="auto"/>
              </w:rPr>
              <w:t>Electric Market Relations</w:t>
            </w:r>
            <w:r w:rsidR="00BC201F" w:rsidRPr="0087657B">
              <w:rPr>
                <w:b w:val="0"/>
                <w:bCs/>
                <w:webHidden/>
              </w:rPr>
              <w:tab/>
            </w:r>
            <w:r w:rsidR="00BC201F" w:rsidRPr="0087657B">
              <w:rPr>
                <w:b w:val="0"/>
                <w:bCs/>
                <w:webHidden/>
              </w:rPr>
              <w:fldChar w:fldCharType="begin"/>
            </w:r>
            <w:r w:rsidR="00BC201F" w:rsidRPr="0087657B">
              <w:rPr>
                <w:b w:val="0"/>
                <w:bCs/>
                <w:webHidden/>
              </w:rPr>
              <w:instrText xml:space="preserve"> PAGEREF _Toc159491392 \h </w:instrText>
            </w:r>
            <w:r w:rsidR="00BC201F" w:rsidRPr="0087657B">
              <w:rPr>
                <w:b w:val="0"/>
                <w:bCs/>
                <w:webHidden/>
              </w:rPr>
            </w:r>
            <w:r w:rsidR="00BC201F" w:rsidRPr="0087657B">
              <w:rPr>
                <w:b w:val="0"/>
                <w:bCs/>
                <w:webHidden/>
              </w:rPr>
              <w:fldChar w:fldCharType="separate"/>
            </w:r>
            <w:r>
              <w:rPr>
                <w:b w:val="0"/>
                <w:bCs/>
                <w:webHidden/>
              </w:rPr>
              <w:t>12</w:t>
            </w:r>
            <w:r w:rsidR="00BC201F" w:rsidRPr="0087657B">
              <w:rPr>
                <w:b w:val="0"/>
                <w:bCs/>
                <w:webHidden/>
              </w:rPr>
              <w:fldChar w:fldCharType="end"/>
            </w:r>
          </w:hyperlink>
        </w:p>
        <w:p w14:paraId="7B43590C" w14:textId="001C0EE2" w:rsidR="00BC201F" w:rsidRPr="0087657B" w:rsidRDefault="00657353">
          <w:pPr>
            <w:pStyle w:val="TOC2"/>
            <w:rPr>
              <w:rFonts w:asciiTheme="minorHAnsi" w:eastAsiaTheme="minorEastAsia" w:hAnsiTheme="minorHAnsi" w:cstheme="minorBidi"/>
              <w:b w:val="0"/>
              <w:bCs/>
              <w:kern w:val="2"/>
              <w:sz w:val="22"/>
              <w:szCs w:val="22"/>
              <w14:ligatures w14:val="standardContextual"/>
            </w:rPr>
          </w:pPr>
          <w:hyperlink w:anchor="_Toc159491393" w:history="1">
            <w:r w:rsidR="00BC201F" w:rsidRPr="0087657B">
              <w:rPr>
                <w:rStyle w:val="Hyperlink"/>
                <w:b w:val="0"/>
                <w:bCs/>
                <w:caps/>
                <w:color w:val="auto"/>
              </w:rPr>
              <w:t>D.</w:t>
            </w:r>
            <w:r w:rsidR="00BC201F" w:rsidRPr="0087657B">
              <w:rPr>
                <w:rFonts w:asciiTheme="minorHAnsi" w:eastAsiaTheme="minorEastAsia" w:hAnsiTheme="minorHAnsi" w:cstheme="minorBidi"/>
                <w:b w:val="0"/>
                <w:bCs/>
                <w:kern w:val="2"/>
                <w:sz w:val="22"/>
                <w:szCs w:val="22"/>
                <w14:ligatures w14:val="standardContextual"/>
              </w:rPr>
              <w:tab/>
            </w:r>
            <w:r w:rsidR="00BC201F" w:rsidRPr="0087657B">
              <w:rPr>
                <w:rStyle w:val="Hyperlink"/>
                <w:b w:val="0"/>
                <w:bCs/>
                <w:caps/>
                <w:color w:val="auto"/>
              </w:rPr>
              <w:t>Program Management</w:t>
            </w:r>
            <w:r w:rsidR="00BC201F" w:rsidRPr="0087657B">
              <w:rPr>
                <w:b w:val="0"/>
                <w:bCs/>
                <w:webHidden/>
              </w:rPr>
              <w:tab/>
            </w:r>
            <w:r w:rsidR="00BC201F" w:rsidRPr="0087657B">
              <w:rPr>
                <w:b w:val="0"/>
                <w:bCs/>
                <w:webHidden/>
              </w:rPr>
              <w:fldChar w:fldCharType="begin"/>
            </w:r>
            <w:r w:rsidR="00BC201F" w:rsidRPr="0087657B">
              <w:rPr>
                <w:b w:val="0"/>
                <w:bCs/>
                <w:webHidden/>
              </w:rPr>
              <w:instrText xml:space="preserve"> PAGEREF _Toc159491393 \h </w:instrText>
            </w:r>
            <w:r w:rsidR="00BC201F" w:rsidRPr="0087657B">
              <w:rPr>
                <w:b w:val="0"/>
                <w:bCs/>
                <w:webHidden/>
              </w:rPr>
            </w:r>
            <w:r w:rsidR="00BC201F" w:rsidRPr="0087657B">
              <w:rPr>
                <w:b w:val="0"/>
                <w:bCs/>
                <w:webHidden/>
              </w:rPr>
              <w:fldChar w:fldCharType="separate"/>
            </w:r>
            <w:r>
              <w:rPr>
                <w:b w:val="0"/>
                <w:bCs/>
                <w:webHidden/>
              </w:rPr>
              <w:t>15</w:t>
            </w:r>
            <w:r w:rsidR="00BC201F" w:rsidRPr="0087657B">
              <w:rPr>
                <w:b w:val="0"/>
                <w:bCs/>
                <w:webHidden/>
              </w:rPr>
              <w:fldChar w:fldCharType="end"/>
            </w:r>
          </w:hyperlink>
        </w:p>
        <w:p w14:paraId="61BC26A8" w14:textId="2494578F" w:rsidR="00BC201F" w:rsidRPr="0087657B" w:rsidRDefault="00657353" w:rsidP="0087657B">
          <w:pPr>
            <w:pStyle w:val="TOC1"/>
            <w:rPr>
              <w:rFonts w:ascii="Times New Roman" w:eastAsiaTheme="minorEastAsia" w:hAnsi="Times New Roman" w:cstheme="minorBidi"/>
              <w:b w:val="0"/>
              <w:snapToGrid/>
              <w:kern w:val="2"/>
              <w:sz w:val="22"/>
              <w:szCs w:val="22"/>
              <w14:ligatures w14:val="standardContextual"/>
            </w:rPr>
          </w:pPr>
          <w:hyperlink w:anchor="_Toc159491394" w:history="1">
            <w:r w:rsidR="00BC201F" w:rsidRPr="0087657B">
              <w:rPr>
                <w:rStyle w:val="Hyperlink"/>
                <w:rFonts w:ascii="Times New Roman" w:hAnsi="Times New Roman"/>
                <w:b w:val="0"/>
                <w:color w:val="auto"/>
              </w:rPr>
              <w:t>IV.</w:t>
            </w:r>
            <w:r w:rsidR="00BC201F" w:rsidRPr="0087657B">
              <w:rPr>
                <w:rFonts w:ascii="Times New Roman" w:eastAsiaTheme="minorEastAsia" w:hAnsi="Times New Roman" w:cstheme="minorBidi"/>
                <w:b w:val="0"/>
                <w:snapToGrid/>
                <w:kern w:val="2"/>
                <w:sz w:val="22"/>
                <w:szCs w:val="22"/>
                <w14:ligatures w14:val="standardContextual"/>
              </w:rPr>
              <w:tab/>
            </w:r>
            <w:r w:rsidR="00BC201F" w:rsidRPr="0087657B">
              <w:rPr>
                <w:rStyle w:val="Hyperlink"/>
                <w:rFonts w:ascii="Times New Roman" w:hAnsi="Times New Roman"/>
                <w:b w:val="0"/>
                <w:caps/>
                <w:color w:val="auto"/>
              </w:rPr>
              <w:t>Cost Control</w:t>
            </w:r>
            <w:r w:rsidR="00BC201F" w:rsidRPr="0087657B">
              <w:rPr>
                <w:rFonts w:ascii="Times New Roman" w:hAnsi="Times New Roman"/>
                <w:b w:val="0"/>
                <w:webHidden/>
              </w:rPr>
              <w:tab/>
            </w:r>
            <w:r w:rsidR="00BC201F" w:rsidRPr="0087657B">
              <w:rPr>
                <w:rFonts w:ascii="Times New Roman" w:hAnsi="Times New Roman"/>
                <w:b w:val="0"/>
                <w:webHidden/>
              </w:rPr>
              <w:fldChar w:fldCharType="begin"/>
            </w:r>
            <w:r w:rsidR="00BC201F" w:rsidRPr="0087657B">
              <w:rPr>
                <w:rFonts w:ascii="Times New Roman" w:hAnsi="Times New Roman"/>
                <w:b w:val="0"/>
                <w:webHidden/>
              </w:rPr>
              <w:instrText xml:space="preserve"> PAGEREF _Toc159491394 \h </w:instrText>
            </w:r>
            <w:r w:rsidR="00BC201F" w:rsidRPr="0087657B">
              <w:rPr>
                <w:rFonts w:ascii="Times New Roman" w:hAnsi="Times New Roman"/>
                <w:b w:val="0"/>
                <w:webHidden/>
              </w:rPr>
            </w:r>
            <w:r w:rsidR="00BC201F" w:rsidRPr="0087657B">
              <w:rPr>
                <w:rFonts w:ascii="Times New Roman" w:hAnsi="Times New Roman"/>
                <w:b w:val="0"/>
                <w:webHidden/>
              </w:rPr>
              <w:fldChar w:fldCharType="separate"/>
            </w:r>
            <w:r>
              <w:rPr>
                <w:rFonts w:ascii="Times New Roman" w:hAnsi="Times New Roman"/>
                <w:b w:val="0"/>
                <w:webHidden/>
              </w:rPr>
              <w:t>17</w:t>
            </w:r>
            <w:r w:rsidR="00BC201F" w:rsidRPr="0087657B">
              <w:rPr>
                <w:rFonts w:ascii="Times New Roman" w:hAnsi="Times New Roman"/>
                <w:b w:val="0"/>
                <w:webHidden/>
              </w:rPr>
              <w:fldChar w:fldCharType="end"/>
            </w:r>
          </w:hyperlink>
        </w:p>
        <w:p w14:paraId="0A23DA45" w14:textId="3104C644" w:rsidR="00BC201F" w:rsidRPr="0087657B" w:rsidRDefault="00657353" w:rsidP="0087657B">
          <w:pPr>
            <w:pStyle w:val="TOC1"/>
            <w:rPr>
              <w:rFonts w:ascii="Times New Roman" w:eastAsiaTheme="minorEastAsia" w:hAnsi="Times New Roman" w:cstheme="minorBidi"/>
              <w:b w:val="0"/>
              <w:snapToGrid/>
              <w:kern w:val="2"/>
              <w:sz w:val="22"/>
              <w:szCs w:val="22"/>
              <w14:ligatures w14:val="standardContextual"/>
            </w:rPr>
          </w:pPr>
          <w:hyperlink w:anchor="_Toc159491395" w:history="1">
            <w:r w:rsidR="00BC201F" w:rsidRPr="0087657B">
              <w:rPr>
                <w:rStyle w:val="Hyperlink"/>
                <w:rFonts w:ascii="Times New Roman" w:hAnsi="Times New Roman"/>
                <w:b w:val="0"/>
                <w:color w:val="auto"/>
              </w:rPr>
              <w:t>V.</w:t>
            </w:r>
            <w:r w:rsidR="00BC201F" w:rsidRPr="0087657B">
              <w:rPr>
                <w:rFonts w:ascii="Times New Roman" w:eastAsiaTheme="minorEastAsia" w:hAnsi="Times New Roman" w:cstheme="minorBidi"/>
                <w:b w:val="0"/>
                <w:snapToGrid/>
                <w:kern w:val="2"/>
                <w:sz w:val="22"/>
                <w:szCs w:val="22"/>
                <w14:ligatures w14:val="standardContextual"/>
              </w:rPr>
              <w:tab/>
            </w:r>
            <w:r w:rsidR="00BC201F" w:rsidRPr="0087657B">
              <w:rPr>
                <w:rStyle w:val="Hyperlink"/>
                <w:rFonts w:ascii="Times New Roman" w:hAnsi="Times New Roman"/>
                <w:b w:val="0"/>
                <w:caps/>
                <w:color w:val="auto"/>
              </w:rPr>
              <w:t>CenterPoint Houston’s Credit Risk and Bad Debt</w:t>
            </w:r>
            <w:r w:rsidR="00BC201F" w:rsidRPr="0087657B">
              <w:rPr>
                <w:rFonts w:ascii="Times New Roman" w:hAnsi="Times New Roman"/>
                <w:b w:val="0"/>
                <w:webHidden/>
              </w:rPr>
              <w:tab/>
            </w:r>
            <w:r w:rsidR="00BC201F" w:rsidRPr="0087657B">
              <w:rPr>
                <w:rFonts w:ascii="Times New Roman" w:hAnsi="Times New Roman"/>
                <w:b w:val="0"/>
                <w:webHidden/>
              </w:rPr>
              <w:fldChar w:fldCharType="begin"/>
            </w:r>
            <w:r w:rsidR="00BC201F" w:rsidRPr="0087657B">
              <w:rPr>
                <w:rFonts w:ascii="Times New Roman" w:hAnsi="Times New Roman"/>
                <w:b w:val="0"/>
                <w:webHidden/>
              </w:rPr>
              <w:instrText xml:space="preserve"> PAGEREF _Toc159491395 \h </w:instrText>
            </w:r>
            <w:r w:rsidR="00BC201F" w:rsidRPr="0087657B">
              <w:rPr>
                <w:rFonts w:ascii="Times New Roman" w:hAnsi="Times New Roman"/>
                <w:b w:val="0"/>
                <w:webHidden/>
              </w:rPr>
            </w:r>
            <w:r w:rsidR="00BC201F" w:rsidRPr="0087657B">
              <w:rPr>
                <w:rFonts w:ascii="Times New Roman" w:hAnsi="Times New Roman"/>
                <w:b w:val="0"/>
                <w:webHidden/>
              </w:rPr>
              <w:fldChar w:fldCharType="separate"/>
            </w:r>
            <w:r>
              <w:rPr>
                <w:rFonts w:ascii="Times New Roman" w:hAnsi="Times New Roman"/>
                <w:b w:val="0"/>
                <w:webHidden/>
              </w:rPr>
              <w:t>21</w:t>
            </w:r>
            <w:r w:rsidR="00BC201F" w:rsidRPr="0087657B">
              <w:rPr>
                <w:rFonts w:ascii="Times New Roman" w:hAnsi="Times New Roman"/>
                <w:b w:val="0"/>
                <w:webHidden/>
              </w:rPr>
              <w:fldChar w:fldCharType="end"/>
            </w:r>
          </w:hyperlink>
        </w:p>
        <w:p w14:paraId="1C793760" w14:textId="18A5184B" w:rsidR="00BC201F" w:rsidRPr="0087657B" w:rsidRDefault="00657353" w:rsidP="0087657B">
          <w:pPr>
            <w:pStyle w:val="TOC1"/>
            <w:rPr>
              <w:rFonts w:ascii="Times New Roman" w:eastAsiaTheme="minorEastAsia" w:hAnsi="Times New Roman" w:cstheme="minorBidi"/>
              <w:b w:val="0"/>
              <w:snapToGrid/>
              <w:kern w:val="2"/>
              <w:sz w:val="22"/>
              <w:szCs w:val="22"/>
              <w14:ligatures w14:val="standardContextual"/>
            </w:rPr>
          </w:pPr>
          <w:hyperlink w:anchor="_Toc159491396" w:history="1">
            <w:r w:rsidR="00BC201F" w:rsidRPr="0087657B">
              <w:rPr>
                <w:rStyle w:val="Hyperlink"/>
                <w:rFonts w:ascii="Times New Roman" w:hAnsi="Times New Roman"/>
                <w:b w:val="0"/>
                <w:color w:val="auto"/>
              </w:rPr>
              <w:t>VI.</w:t>
            </w:r>
            <w:r w:rsidR="00BC201F" w:rsidRPr="0087657B">
              <w:rPr>
                <w:rFonts w:ascii="Times New Roman" w:eastAsiaTheme="minorEastAsia" w:hAnsi="Times New Roman" w:cstheme="minorBidi"/>
                <w:b w:val="0"/>
                <w:snapToGrid/>
                <w:kern w:val="2"/>
                <w:sz w:val="22"/>
                <w:szCs w:val="22"/>
                <w14:ligatures w14:val="standardContextual"/>
              </w:rPr>
              <w:tab/>
            </w:r>
            <w:r w:rsidR="00BC201F" w:rsidRPr="0087657B">
              <w:rPr>
                <w:rStyle w:val="Hyperlink"/>
                <w:rFonts w:ascii="Times New Roman" w:hAnsi="Times New Roman"/>
                <w:b w:val="0"/>
                <w:caps/>
                <w:color w:val="auto"/>
              </w:rPr>
              <w:t>Conclusion</w:t>
            </w:r>
            <w:r w:rsidR="00BC201F" w:rsidRPr="0087657B">
              <w:rPr>
                <w:rFonts w:ascii="Times New Roman" w:hAnsi="Times New Roman"/>
                <w:b w:val="0"/>
                <w:webHidden/>
              </w:rPr>
              <w:tab/>
            </w:r>
            <w:r w:rsidR="00BC201F" w:rsidRPr="0087657B">
              <w:rPr>
                <w:rFonts w:ascii="Times New Roman" w:hAnsi="Times New Roman"/>
                <w:b w:val="0"/>
                <w:webHidden/>
              </w:rPr>
              <w:fldChar w:fldCharType="begin"/>
            </w:r>
            <w:r w:rsidR="00BC201F" w:rsidRPr="0087657B">
              <w:rPr>
                <w:rFonts w:ascii="Times New Roman" w:hAnsi="Times New Roman"/>
                <w:b w:val="0"/>
                <w:webHidden/>
              </w:rPr>
              <w:instrText xml:space="preserve"> PAGEREF _Toc159491396 \h </w:instrText>
            </w:r>
            <w:r w:rsidR="00BC201F" w:rsidRPr="0087657B">
              <w:rPr>
                <w:rFonts w:ascii="Times New Roman" w:hAnsi="Times New Roman"/>
                <w:b w:val="0"/>
                <w:webHidden/>
              </w:rPr>
            </w:r>
            <w:r w:rsidR="00BC201F" w:rsidRPr="0087657B">
              <w:rPr>
                <w:rFonts w:ascii="Times New Roman" w:hAnsi="Times New Roman"/>
                <w:b w:val="0"/>
                <w:webHidden/>
              </w:rPr>
              <w:fldChar w:fldCharType="separate"/>
            </w:r>
            <w:r>
              <w:rPr>
                <w:rFonts w:ascii="Times New Roman" w:hAnsi="Times New Roman"/>
                <w:b w:val="0"/>
                <w:webHidden/>
              </w:rPr>
              <w:t>31</w:t>
            </w:r>
            <w:r w:rsidR="00BC201F" w:rsidRPr="0087657B">
              <w:rPr>
                <w:rFonts w:ascii="Times New Roman" w:hAnsi="Times New Roman"/>
                <w:b w:val="0"/>
                <w:webHidden/>
              </w:rPr>
              <w:fldChar w:fldCharType="end"/>
            </w:r>
          </w:hyperlink>
        </w:p>
        <w:p w14:paraId="37A44998" w14:textId="714E1B17" w:rsidR="00612174" w:rsidRPr="0087657B" w:rsidRDefault="00612174">
          <w:pPr>
            <w:rPr>
              <w:b/>
              <w:bCs/>
            </w:rPr>
          </w:pPr>
          <w:r w:rsidRPr="0087657B">
            <w:rPr>
              <w:bCs/>
              <w:noProof/>
              <w:sz w:val="24"/>
              <w:szCs w:val="24"/>
            </w:rPr>
            <w:fldChar w:fldCharType="end"/>
          </w:r>
        </w:p>
      </w:sdtContent>
    </w:sdt>
    <w:bookmarkEnd w:id="3" w:displacedByCustomXml="prev"/>
    <w:p w14:paraId="1D913364" w14:textId="77777777" w:rsidR="000B3245" w:rsidRPr="00395A69" w:rsidRDefault="000B3245" w:rsidP="00922212">
      <w:pPr>
        <w:spacing w:line="480" w:lineRule="auto"/>
        <w:rPr>
          <w:rStyle w:val="LineNumber"/>
        </w:rPr>
      </w:pPr>
    </w:p>
    <w:p w14:paraId="666D56A5" w14:textId="6531D48F" w:rsidR="000B3245" w:rsidRPr="00922212" w:rsidRDefault="274D858B" w:rsidP="00922212">
      <w:pPr>
        <w:spacing w:line="480" w:lineRule="auto"/>
        <w:rPr>
          <w:b/>
          <w:bCs/>
          <w:sz w:val="24"/>
          <w:szCs w:val="24"/>
        </w:rPr>
      </w:pPr>
      <w:r w:rsidRPr="2DFE78DE">
        <w:rPr>
          <w:b/>
          <w:bCs/>
          <w:sz w:val="24"/>
          <w:szCs w:val="24"/>
        </w:rPr>
        <w:t xml:space="preserve"> </w:t>
      </w:r>
    </w:p>
    <w:p w14:paraId="0BA1F78C" w14:textId="77777777" w:rsidR="00FD0CCF" w:rsidRPr="00922212" w:rsidRDefault="00FD0CCF" w:rsidP="00922212">
      <w:pPr>
        <w:spacing w:line="480" w:lineRule="auto"/>
        <w:rPr>
          <w:b/>
          <w:sz w:val="24"/>
          <w:szCs w:val="24"/>
        </w:rPr>
      </w:pPr>
    </w:p>
    <w:p w14:paraId="5FA27625" w14:textId="1DBF53FE" w:rsidR="00FD0CCF" w:rsidRPr="00922212" w:rsidRDefault="003A7DBD">
      <w:pPr>
        <w:rPr>
          <w:b/>
          <w:sz w:val="24"/>
          <w:szCs w:val="24"/>
        </w:rPr>
      </w:pPr>
      <w:r>
        <w:rPr>
          <w:b/>
          <w:sz w:val="24"/>
          <w:szCs w:val="24"/>
        </w:rPr>
        <w:br w:type="page"/>
      </w:r>
    </w:p>
    <w:p w14:paraId="0C2697AA" w14:textId="3AE53D85" w:rsidR="003A7DBD" w:rsidRPr="002206BB" w:rsidRDefault="00F768D2" w:rsidP="002206BB">
      <w:pPr>
        <w:spacing w:line="480" w:lineRule="auto"/>
        <w:jc w:val="center"/>
        <w:rPr>
          <w:b/>
          <w:bCs/>
          <w:i/>
          <w:sz w:val="24"/>
          <w:szCs w:val="24"/>
          <w:u w:val="single"/>
        </w:rPr>
      </w:pPr>
      <w:r w:rsidRPr="002206BB">
        <w:rPr>
          <w:b/>
          <w:bCs/>
          <w:sz w:val="24"/>
          <w:szCs w:val="24"/>
          <w:u w:val="single"/>
        </w:rPr>
        <w:lastRenderedPageBreak/>
        <w:t>GLOSSARY OF ACRONYMS AND DEFINED TERMS</w:t>
      </w:r>
    </w:p>
    <w:p w14:paraId="41389C5D" w14:textId="6BAA9587" w:rsidR="003B0EDE" w:rsidRPr="00183989" w:rsidRDefault="003B0EDE" w:rsidP="00183989">
      <w:pPr>
        <w:pStyle w:val="paragraph"/>
        <w:tabs>
          <w:tab w:val="left" w:pos="2160"/>
        </w:tabs>
        <w:spacing w:before="120" w:beforeAutospacing="0" w:after="120" w:afterAutospacing="0"/>
        <w:jc w:val="both"/>
        <w:textAlignment w:val="baseline"/>
        <w:rPr>
          <w:rStyle w:val="normaltextrun"/>
          <w:b/>
          <w:bCs/>
        </w:rPr>
      </w:pPr>
      <w:r w:rsidRPr="003B0EDE">
        <w:rPr>
          <w:rStyle w:val="normaltextrun"/>
          <w:b/>
          <w:bCs/>
        </w:rPr>
        <w:t>Acronym</w:t>
      </w:r>
      <w:r w:rsidRPr="003B0EDE">
        <w:rPr>
          <w:rStyle w:val="normaltextrun"/>
          <w:b/>
          <w:bCs/>
        </w:rPr>
        <w:tab/>
        <w:t>Definition</w:t>
      </w:r>
    </w:p>
    <w:p w14:paraId="7812E18C" w14:textId="3739D8A2" w:rsidR="003B0EDE" w:rsidRPr="00801A5D" w:rsidRDefault="003B0EDE" w:rsidP="00183989">
      <w:pPr>
        <w:pStyle w:val="paragraph"/>
        <w:tabs>
          <w:tab w:val="left" w:pos="2160"/>
        </w:tabs>
        <w:spacing w:before="120" w:beforeAutospacing="0" w:after="120" w:afterAutospacing="0"/>
        <w:jc w:val="both"/>
        <w:textAlignment w:val="baseline"/>
        <w:rPr>
          <w:rStyle w:val="normaltextrun"/>
        </w:rPr>
      </w:pPr>
      <w:r w:rsidRPr="00801A5D">
        <w:rPr>
          <w:rStyle w:val="normaltextrun"/>
        </w:rPr>
        <w:t>AMS</w:t>
      </w:r>
      <w:r w:rsidRPr="00801A5D">
        <w:rPr>
          <w:rStyle w:val="normaltextrun"/>
        </w:rPr>
        <w:tab/>
        <w:t>Advanced Metering System</w:t>
      </w:r>
    </w:p>
    <w:p w14:paraId="7538C015" w14:textId="54537634" w:rsidR="003B0EDE" w:rsidRPr="00801A5D" w:rsidRDefault="003B0EDE" w:rsidP="00183989">
      <w:pPr>
        <w:pStyle w:val="paragraph"/>
        <w:tabs>
          <w:tab w:val="left" w:pos="2160"/>
        </w:tabs>
        <w:spacing w:before="120" w:beforeAutospacing="0" w:after="120" w:afterAutospacing="0"/>
        <w:jc w:val="both"/>
        <w:textAlignment w:val="baseline"/>
        <w:rPr>
          <w:rStyle w:val="normaltextrun"/>
        </w:rPr>
      </w:pPr>
      <w:r w:rsidRPr="00801A5D">
        <w:rPr>
          <w:rStyle w:val="normaltextrun"/>
        </w:rPr>
        <w:t>CR</w:t>
      </w:r>
      <w:r w:rsidRPr="00801A5D">
        <w:rPr>
          <w:rStyle w:val="normaltextrun"/>
        </w:rPr>
        <w:tab/>
        <w:t>Competitive Retailer</w:t>
      </w:r>
    </w:p>
    <w:p w14:paraId="02B230EA" w14:textId="59D7959A" w:rsidR="00CE2C50" w:rsidRPr="00801A5D" w:rsidRDefault="00CE2C50" w:rsidP="00183989">
      <w:pPr>
        <w:pStyle w:val="paragraph"/>
        <w:tabs>
          <w:tab w:val="left" w:pos="2160"/>
        </w:tabs>
        <w:spacing w:before="120" w:beforeAutospacing="0" w:after="120" w:afterAutospacing="0"/>
        <w:jc w:val="both"/>
        <w:textAlignment w:val="baseline"/>
        <w:rPr>
          <w:rStyle w:val="normaltextrun"/>
        </w:rPr>
      </w:pPr>
      <w:r w:rsidRPr="00801A5D">
        <w:rPr>
          <w:rStyle w:val="normaltextrun"/>
        </w:rPr>
        <w:t>CNP</w:t>
      </w:r>
      <w:r w:rsidRPr="00801A5D">
        <w:rPr>
          <w:rStyle w:val="normaltextrun"/>
        </w:rPr>
        <w:tab/>
        <w:t>CenterPoint Energy, Inc.</w:t>
      </w:r>
    </w:p>
    <w:p w14:paraId="1BAAFB3C" w14:textId="4B681F1C" w:rsidR="001439A7" w:rsidRPr="00183989" w:rsidRDefault="001439A7" w:rsidP="00183989">
      <w:pPr>
        <w:pStyle w:val="paragraph"/>
        <w:tabs>
          <w:tab w:val="left" w:pos="2160"/>
        </w:tabs>
        <w:spacing w:before="120" w:beforeAutospacing="0" w:after="120" w:afterAutospacing="0"/>
        <w:jc w:val="both"/>
        <w:textAlignment w:val="baseline"/>
        <w:rPr>
          <w:rStyle w:val="normaltextrun"/>
        </w:rPr>
      </w:pPr>
      <w:r w:rsidRPr="00801A5D">
        <w:rPr>
          <w:rStyle w:val="normaltextrun"/>
        </w:rPr>
        <w:t>CRIP</w:t>
      </w:r>
      <w:r w:rsidRPr="00801A5D">
        <w:rPr>
          <w:rStyle w:val="normaltextrun"/>
        </w:rPr>
        <w:tab/>
      </w:r>
      <w:r w:rsidRPr="00183989">
        <w:rPr>
          <w:rStyle w:val="normaltextrun"/>
        </w:rPr>
        <w:t>Competitive Retailer Information Portal</w:t>
      </w:r>
    </w:p>
    <w:p w14:paraId="7C2F294D" w14:textId="46385326" w:rsidR="004610D5" w:rsidRPr="00801A5D" w:rsidRDefault="004610D5" w:rsidP="00183989">
      <w:pPr>
        <w:pStyle w:val="paragraph"/>
        <w:tabs>
          <w:tab w:val="left" w:pos="2160"/>
        </w:tabs>
        <w:spacing w:before="120" w:beforeAutospacing="0" w:after="120" w:afterAutospacing="0"/>
        <w:jc w:val="both"/>
        <w:textAlignment w:val="baseline"/>
      </w:pPr>
      <w:r w:rsidRPr="00183989">
        <w:rPr>
          <w:rStyle w:val="normaltextrun"/>
        </w:rPr>
        <w:t>DEIS</w:t>
      </w:r>
      <w:r w:rsidRPr="00801A5D">
        <w:t xml:space="preserve"> </w:t>
      </w:r>
      <w:r w:rsidRPr="00801A5D">
        <w:tab/>
        <w:t>Demand and Energy Information System</w:t>
      </w:r>
    </w:p>
    <w:p w14:paraId="3CCE9231" w14:textId="757DBF12" w:rsidR="00E017A2" w:rsidRDefault="00E017A2" w:rsidP="00B5183B">
      <w:pPr>
        <w:pStyle w:val="paragraph"/>
        <w:tabs>
          <w:tab w:val="left" w:pos="2160"/>
        </w:tabs>
        <w:spacing w:before="120" w:beforeAutospacing="0" w:after="120" w:afterAutospacing="0"/>
        <w:jc w:val="both"/>
        <w:textAlignment w:val="baseline"/>
      </w:pPr>
      <w:r w:rsidRPr="00801A5D">
        <w:t>EDI</w:t>
      </w:r>
      <w:r w:rsidRPr="00801A5D">
        <w:tab/>
        <w:t>Electronic Data Interchange</w:t>
      </w:r>
    </w:p>
    <w:p w14:paraId="63A2BBA6" w14:textId="6B258AF9" w:rsidR="00AD72C1" w:rsidRPr="00801A5D" w:rsidRDefault="00AD72C1" w:rsidP="00183989">
      <w:pPr>
        <w:pStyle w:val="paragraph"/>
        <w:tabs>
          <w:tab w:val="left" w:pos="2160"/>
        </w:tabs>
        <w:spacing w:before="120" w:beforeAutospacing="0" w:after="120" w:afterAutospacing="0"/>
        <w:jc w:val="both"/>
        <w:textAlignment w:val="baseline"/>
      </w:pPr>
      <w:r>
        <w:t>EMO</w:t>
      </w:r>
      <w:r>
        <w:tab/>
        <w:t>Electric Market Operations</w:t>
      </w:r>
    </w:p>
    <w:p w14:paraId="6F52B8CF" w14:textId="1549E022" w:rsidR="00212620" w:rsidRPr="00801A5D" w:rsidRDefault="00212620" w:rsidP="00183989">
      <w:pPr>
        <w:pStyle w:val="paragraph"/>
        <w:tabs>
          <w:tab w:val="left" w:pos="2160"/>
        </w:tabs>
        <w:spacing w:before="120" w:beforeAutospacing="0" w:after="120" w:afterAutospacing="0"/>
        <w:jc w:val="both"/>
        <w:textAlignment w:val="baseline"/>
      </w:pPr>
      <w:r w:rsidRPr="00801A5D">
        <w:t>ERCOT</w:t>
      </w:r>
      <w:r w:rsidRPr="00801A5D">
        <w:tab/>
        <w:t>Electric Reliability Council of Texas, Inc.</w:t>
      </w:r>
    </w:p>
    <w:p w14:paraId="575F81EF" w14:textId="1C2D81D4" w:rsidR="00F32080" w:rsidRPr="00801A5D" w:rsidRDefault="00F32080" w:rsidP="00183989">
      <w:pPr>
        <w:pStyle w:val="paragraph"/>
        <w:tabs>
          <w:tab w:val="left" w:pos="2160"/>
        </w:tabs>
        <w:spacing w:before="120" w:beforeAutospacing="0" w:after="120" w:afterAutospacing="0"/>
        <w:jc w:val="both"/>
        <w:textAlignment w:val="baseline"/>
      </w:pPr>
      <w:r w:rsidRPr="00183989">
        <w:rPr>
          <w:rStyle w:val="normaltextrun"/>
        </w:rPr>
        <w:t>ESI-ID</w:t>
      </w:r>
      <w:r w:rsidRPr="00801A5D">
        <w:t xml:space="preserve"> </w:t>
      </w:r>
      <w:r w:rsidRPr="00801A5D">
        <w:tab/>
        <w:t>Electric Service Identifier</w:t>
      </w:r>
    </w:p>
    <w:p w14:paraId="7DBBC0A7" w14:textId="20FE6102" w:rsidR="00A15659" w:rsidRPr="00801A5D" w:rsidRDefault="00A15659" w:rsidP="00183989">
      <w:pPr>
        <w:pStyle w:val="paragraph"/>
        <w:tabs>
          <w:tab w:val="left" w:pos="2160"/>
        </w:tabs>
        <w:spacing w:before="120" w:beforeAutospacing="0" w:after="120" w:afterAutospacing="0"/>
        <w:jc w:val="both"/>
        <w:textAlignment w:val="baseline"/>
      </w:pPr>
      <w:r w:rsidRPr="00183989">
        <w:rPr>
          <w:rStyle w:val="normaltextrun"/>
        </w:rPr>
        <w:t xml:space="preserve">IT </w:t>
      </w:r>
      <w:r w:rsidRPr="00801A5D">
        <w:tab/>
        <w:t>Information Technology</w:t>
      </w:r>
    </w:p>
    <w:p w14:paraId="5390F846" w14:textId="7F86E5D6" w:rsidR="00A15659" w:rsidRPr="00801A5D" w:rsidRDefault="00A15659" w:rsidP="2DFE78DE">
      <w:pPr>
        <w:pStyle w:val="paragraph"/>
        <w:tabs>
          <w:tab w:val="left" w:pos="2160"/>
        </w:tabs>
        <w:spacing w:before="120" w:beforeAutospacing="0" w:after="120" w:afterAutospacing="0"/>
        <w:jc w:val="both"/>
        <w:textAlignment w:val="baseline"/>
      </w:pPr>
      <w:r>
        <w:t>IDR</w:t>
      </w:r>
      <w:r>
        <w:tab/>
        <w:t>Interval Data Recorder</w:t>
      </w:r>
    </w:p>
    <w:p w14:paraId="00C1A5B4" w14:textId="0731DFFC" w:rsidR="00A15659" w:rsidRPr="00801A5D" w:rsidRDefault="00A15659" w:rsidP="00183989">
      <w:pPr>
        <w:pStyle w:val="paragraph"/>
        <w:tabs>
          <w:tab w:val="left" w:pos="2160"/>
        </w:tabs>
        <w:spacing w:before="120" w:beforeAutospacing="0" w:after="120" w:afterAutospacing="0"/>
        <w:jc w:val="both"/>
        <w:textAlignment w:val="baseline"/>
      </w:pPr>
      <w:r w:rsidRPr="00183989">
        <w:t>JDOA</w:t>
      </w:r>
      <w:r w:rsidRPr="00801A5D">
        <w:t xml:space="preserve">  </w:t>
      </w:r>
      <w:r w:rsidRPr="00801A5D">
        <w:tab/>
        <w:t>Joint Development and Operations Agreement</w:t>
      </w:r>
    </w:p>
    <w:p w14:paraId="7B20398D" w14:textId="77777777"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O&amp;M</w:t>
      </w:r>
      <w:r w:rsidRPr="00801A5D">
        <w:t xml:space="preserve"> </w:t>
      </w:r>
      <w:r w:rsidRPr="00801A5D">
        <w:tab/>
        <w:t>Operations and Maintenance</w:t>
      </w:r>
    </w:p>
    <w:p w14:paraId="1E4CC8CA" w14:textId="77777777"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REP</w:t>
      </w:r>
      <w:r w:rsidRPr="00801A5D">
        <w:t xml:space="preserve"> </w:t>
      </w:r>
      <w:r w:rsidRPr="00801A5D">
        <w:tab/>
        <w:t>Retail Electric Provider</w:t>
      </w:r>
    </w:p>
    <w:p w14:paraId="02BFBCE3" w14:textId="3E3341CC"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SMT</w:t>
      </w:r>
      <w:r w:rsidRPr="00801A5D">
        <w:t xml:space="preserve"> </w:t>
      </w:r>
      <w:r w:rsidRPr="00801A5D">
        <w:tab/>
        <w:t>Smart Meter Texas</w:t>
      </w:r>
    </w:p>
    <w:p w14:paraId="10BDF93B" w14:textId="77777777"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SRC</w:t>
      </w:r>
      <w:r w:rsidRPr="00801A5D">
        <w:t xml:space="preserve"> </w:t>
      </w:r>
      <w:r w:rsidRPr="00801A5D">
        <w:tab/>
        <w:t>System Restoration Charge</w:t>
      </w:r>
    </w:p>
    <w:p w14:paraId="630EF8B7" w14:textId="77777777"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TAC</w:t>
      </w:r>
      <w:r w:rsidRPr="00801A5D">
        <w:t xml:space="preserve"> </w:t>
      </w:r>
      <w:r w:rsidRPr="00801A5D">
        <w:tab/>
        <w:t>Texas Administrative Code</w:t>
      </w:r>
    </w:p>
    <w:p w14:paraId="506882BC" w14:textId="77777777"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TC</w:t>
      </w:r>
      <w:r w:rsidRPr="00801A5D">
        <w:t xml:space="preserve"> </w:t>
      </w:r>
      <w:r w:rsidRPr="00801A5D">
        <w:tab/>
        <w:t>Transition Charge</w:t>
      </w:r>
    </w:p>
    <w:p w14:paraId="546C429C" w14:textId="77777777"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TDSP</w:t>
      </w:r>
      <w:r w:rsidRPr="00801A5D">
        <w:t xml:space="preserve"> </w:t>
      </w:r>
      <w:r w:rsidRPr="00801A5D">
        <w:tab/>
        <w:t>Transmission and Distribution Service Provider</w:t>
      </w:r>
    </w:p>
    <w:p w14:paraId="58442C1E" w14:textId="77777777"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TDU</w:t>
      </w:r>
      <w:r w:rsidRPr="00801A5D">
        <w:t xml:space="preserve"> </w:t>
      </w:r>
      <w:r w:rsidRPr="00801A5D">
        <w:tab/>
        <w:t>Transmission and Distribution Utility</w:t>
      </w:r>
    </w:p>
    <w:p w14:paraId="4A5D65BF" w14:textId="22956DBE"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TMH</w:t>
      </w:r>
      <w:r w:rsidRPr="00801A5D">
        <w:t xml:space="preserve"> </w:t>
      </w:r>
      <w:r w:rsidRPr="00801A5D">
        <w:tab/>
        <w:t>Transaction Management Hub</w:t>
      </w:r>
    </w:p>
    <w:p w14:paraId="7C152AF9" w14:textId="77777777" w:rsidR="00801A5D" w:rsidRPr="00801A5D" w:rsidRDefault="00801A5D" w:rsidP="00183989">
      <w:pPr>
        <w:pStyle w:val="paragraph"/>
        <w:tabs>
          <w:tab w:val="left" w:pos="2160"/>
        </w:tabs>
        <w:spacing w:before="120" w:beforeAutospacing="0" w:after="120" w:afterAutospacing="0"/>
        <w:jc w:val="both"/>
        <w:textAlignment w:val="baseline"/>
      </w:pPr>
      <w:r w:rsidRPr="00183989">
        <w:rPr>
          <w:rStyle w:val="normaltextrun"/>
        </w:rPr>
        <w:t>T</w:t>
      </w:r>
      <w:r w:rsidRPr="00183989">
        <w:t>X SET</w:t>
      </w:r>
      <w:r w:rsidRPr="00801A5D">
        <w:t xml:space="preserve"> </w:t>
      </w:r>
      <w:r w:rsidRPr="00801A5D">
        <w:tab/>
        <w:t>Texas Standard Electronic Transaction</w:t>
      </w:r>
    </w:p>
    <w:p w14:paraId="6A7FFBE5" w14:textId="77777777" w:rsidR="00801A5D" w:rsidRDefault="00801A5D" w:rsidP="00A15659">
      <w:pPr>
        <w:pStyle w:val="paragraph"/>
        <w:spacing w:before="120" w:beforeAutospacing="0" w:after="120" w:afterAutospacing="0"/>
        <w:jc w:val="both"/>
        <w:textAlignment w:val="baseline"/>
      </w:pPr>
    </w:p>
    <w:p w14:paraId="63754C8A" w14:textId="473E3537" w:rsidR="00A15659" w:rsidRPr="00183989" w:rsidRDefault="00565565" w:rsidP="00183989">
      <w:pPr>
        <w:pStyle w:val="paragraph"/>
        <w:tabs>
          <w:tab w:val="left" w:pos="3600"/>
        </w:tabs>
        <w:spacing w:before="0" w:beforeAutospacing="0" w:after="240" w:afterAutospacing="0"/>
        <w:jc w:val="both"/>
        <w:textAlignment w:val="baseline"/>
        <w:rPr>
          <w:b/>
          <w:bCs/>
        </w:rPr>
      </w:pPr>
      <w:r>
        <w:rPr>
          <w:b/>
          <w:bCs/>
        </w:rPr>
        <w:t>Defined Terms</w:t>
      </w:r>
    </w:p>
    <w:p w14:paraId="0507DCCA" w14:textId="612E17D2" w:rsidR="00CE2BF3" w:rsidRPr="003B0EDE" w:rsidRDefault="00CE2BF3" w:rsidP="00183989">
      <w:pPr>
        <w:pStyle w:val="paragraph"/>
        <w:spacing w:before="0" w:beforeAutospacing="0" w:after="240" w:afterAutospacing="0"/>
        <w:jc w:val="both"/>
        <w:textAlignment w:val="baseline"/>
      </w:pPr>
      <w:r w:rsidRPr="00183989">
        <w:rPr>
          <w:rStyle w:val="normaltextrun"/>
          <w:b/>
          <w:bCs/>
        </w:rPr>
        <w:t>Advanced Metering System</w:t>
      </w:r>
      <w:r w:rsidR="00CE2C50">
        <w:rPr>
          <w:rStyle w:val="normaltextrun"/>
          <w:b/>
          <w:bCs/>
        </w:rPr>
        <w:t xml:space="preserve"> (“AMS”)</w:t>
      </w:r>
      <w:r w:rsidRPr="003B0EDE">
        <w:rPr>
          <w:rStyle w:val="normaltextrun"/>
        </w:rPr>
        <w:t xml:space="preserve">.  </w:t>
      </w:r>
      <w:r w:rsidR="00674942">
        <w:rPr>
          <w:rStyle w:val="normaltextrun"/>
        </w:rPr>
        <w:t>A</w:t>
      </w:r>
      <w:r w:rsidRPr="003B0EDE">
        <w:rPr>
          <w:rStyle w:val="normaltextrun"/>
        </w:rPr>
        <w:t xml:space="preserve"> system, including Advanced Meters and the associated hardware, software, and communications devices, that collects time-differentiated energy usage and is deployed pursuant to 16 TAC § 25.130, </w:t>
      </w:r>
      <w:r w:rsidRPr="003B0EDE">
        <w:rPr>
          <w:rStyle w:val="normaltextrun"/>
          <w:i/>
          <w:iCs/>
        </w:rPr>
        <w:t>Advanced Metering</w:t>
      </w:r>
      <w:r w:rsidRPr="003B0EDE">
        <w:rPr>
          <w:rStyle w:val="normaltextrun"/>
        </w:rPr>
        <w:t>.  In 2009, the Company began deployment of advanced or smart meters in its service territory.</w:t>
      </w:r>
      <w:r w:rsidRPr="003B0EDE">
        <w:rPr>
          <w:rStyle w:val="eop"/>
        </w:rPr>
        <w:t> </w:t>
      </w:r>
    </w:p>
    <w:p w14:paraId="3E2934FD" w14:textId="6439BF09" w:rsidR="00CE2BF3" w:rsidRPr="003B0EDE" w:rsidRDefault="00CE2BF3" w:rsidP="00183989">
      <w:pPr>
        <w:pStyle w:val="paragraph"/>
        <w:spacing w:before="0" w:beforeAutospacing="0" w:after="240" w:afterAutospacing="0"/>
        <w:jc w:val="both"/>
        <w:textAlignment w:val="baseline"/>
      </w:pPr>
      <w:r w:rsidRPr="00183989">
        <w:rPr>
          <w:rStyle w:val="normaltextrun"/>
          <w:b/>
          <w:bCs/>
          <w:color w:val="000000"/>
        </w:rPr>
        <w:t xml:space="preserve">Bankrupt </w:t>
      </w:r>
      <w:r w:rsidR="003B0EDE" w:rsidRPr="00183989">
        <w:rPr>
          <w:rStyle w:val="normaltextrun"/>
          <w:b/>
          <w:bCs/>
          <w:color w:val="000000"/>
        </w:rPr>
        <w:t>Competitive Retailer (“</w:t>
      </w:r>
      <w:r w:rsidR="00565565">
        <w:rPr>
          <w:rStyle w:val="normaltextrun"/>
          <w:b/>
          <w:bCs/>
          <w:color w:val="000000"/>
        </w:rPr>
        <w:t xml:space="preserve">Bankrupt </w:t>
      </w:r>
      <w:r w:rsidR="003B0EDE" w:rsidRPr="00183989">
        <w:rPr>
          <w:rStyle w:val="normaltextrun"/>
          <w:b/>
          <w:bCs/>
          <w:color w:val="000000"/>
        </w:rPr>
        <w:t>CR”)</w:t>
      </w:r>
      <w:r w:rsidR="00CE2C50">
        <w:rPr>
          <w:rStyle w:val="normaltextrun"/>
          <w:color w:val="000000"/>
        </w:rPr>
        <w:t xml:space="preserve">. </w:t>
      </w:r>
      <w:r w:rsidRPr="003B0EDE">
        <w:rPr>
          <w:rStyle w:val="normaltextrun"/>
          <w:color w:val="000000"/>
        </w:rPr>
        <w:t xml:space="preserve">Brilliant Energy, Entrust Energy, Griddy Energy, Just Energy, Liberty Power, Power of Texas and POGO Energy. </w:t>
      </w:r>
    </w:p>
    <w:p w14:paraId="0B9A06DB" w14:textId="21F47372" w:rsidR="00CE2BF3" w:rsidRPr="003B0EDE" w:rsidRDefault="00CE2BF3" w:rsidP="00183989">
      <w:pPr>
        <w:pStyle w:val="paragraph"/>
        <w:spacing w:before="0" w:beforeAutospacing="0" w:after="240" w:afterAutospacing="0"/>
        <w:jc w:val="both"/>
        <w:textAlignment w:val="baseline"/>
      </w:pPr>
      <w:r w:rsidRPr="00183989">
        <w:rPr>
          <w:rStyle w:val="normaltextrun"/>
          <w:b/>
          <w:bCs/>
        </w:rPr>
        <w:lastRenderedPageBreak/>
        <w:t xml:space="preserve">CenterPoint Houston or the </w:t>
      </w:r>
      <w:r w:rsidR="00CE2C50">
        <w:rPr>
          <w:rStyle w:val="normaltextrun"/>
          <w:b/>
          <w:bCs/>
        </w:rPr>
        <w:t>“</w:t>
      </w:r>
      <w:r w:rsidRPr="00183989">
        <w:rPr>
          <w:rStyle w:val="normaltextrun"/>
          <w:b/>
          <w:bCs/>
        </w:rPr>
        <w:t>Company</w:t>
      </w:r>
      <w:r w:rsidR="00CE2C50">
        <w:rPr>
          <w:rStyle w:val="normaltextrun"/>
        </w:rPr>
        <w:t xml:space="preserve">.” </w:t>
      </w:r>
      <w:r w:rsidRPr="003B0EDE">
        <w:rPr>
          <w:rStyle w:val="normaltextrun"/>
        </w:rPr>
        <w:t xml:space="preserve">CenterPoint Energy Houston Electric, LLC.  </w:t>
      </w:r>
    </w:p>
    <w:p w14:paraId="31045ED0" w14:textId="07D322FA" w:rsidR="00CE2BF3" w:rsidRPr="003B0EDE" w:rsidRDefault="00CE2BF3" w:rsidP="00183989">
      <w:pPr>
        <w:pStyle w:val="paragraph"/>
        <w:spacing w:before="0" w:beforeAutospacing="0" w:after="240" w:afterAutospacing="0"/>
        <w:jc w:val="both"/>
        <w:textAlignment w:val="baseline"/>
      </w:pPr>
      <w:r w:rsidRPr="00183989">
        <w:rPr>
          <w:rStyle w:val="normaltextrun"/>
          <w:b/>
          <w:bCs/>
        </w:rPr>
        <w:t>Competitive Retailer</w:t>
      </w:r>
      <w:r w:rsidR="001439A7" w:rsidRPr="00183989">
        <w:rPr>
          <w:rStyle w:val="normaltextrun"/>
          <w:b/>
          <w:bCs/>
        </w:rPr>
        <w:t xml:space="preserve"> (“CR”)</w:t>
      </w:r>
      <w:r w:rsidRPr="00183989">
        <w:rPr>
          <w:rStyle w:val="normaltextrun"/>
          <w:b/>
          <w:bCs/>
        </w:rPr>
        <w:t>.</w:t>
      </w:r>
      <w:r w:rsidRPr="003B0EDE">
        <w:rPr>
          <w:rStyle w:val="normaltextrun"/>
        </w:rPr>
        <w:t xml:space="preserve">  </w:t>
      </w:r>
      <w:r w:rsidR="00F6562C" w:rsidRPr="00F6562C">
        <w:rPr>
          <w:rStyle w:val="normaltextrun"/>
        </w:rPr>
        <w:t>A Municipally Owned Utility or an Electric Cooperative that offers Customer Choice and sells electric energy at retail in the restructured electric power market in Texas, or a</w:t>
      </w:r>
      <w:r w:rsidR="00F6562C">
        <w:rPr>
          <w:rStyle w:val="normaltextrun"/>
        </w:rPr>
        <w:t xml:space="preserve"> REP</w:t>
      </w:r>
      <w:r w:rsidR="00F6562C" w:rsidRPr="00F6562C">
        <w:rPr>
          <w:rStyle w:val="normaltextrun"/>
        </w:rPr>
        <w:t>.</w:t>
      </w:r>
    </w:p>
    <w:p w14:paraId="57CEE111" w14:textId="6E3E99B0" w:rsidR="00CE2BF3" w:rsidRPr="003B0EDE" w:rsidRDefault="00CE2BF3" w:rsidP="00183989">
      <w:pPr>
        <w:pStyle w:val="paragraph"/>
        <w:spacing w:before="0" w:beforeAutospacing="0" w:after="240" w:afterAutospacing="0"/>
        <w:jc w:val="both"/>
        <w:textAlignment w:val="baseline"/>
      </w:pPr>
      <w:r w:rsidRPr="00183989">
        <w:rPr>
          <w:rStyle w:val="normaltextrun"/>
          <w:b/>
          <w:bCs/>
        </w:rPr>
        <w:t>Competitive Retailer Information Portal</w:t>
      </w:r>
      <w:r w:rsidR="001439A7">
        <w:rPr>
          <w:rStyle w:val="normaltextrun"/>
          <w:b/>
          <w:bCs/>
        </w:rPr>
        <w:t xml:space="preserve"> (“CRIP”).</w:t>
      </w:r>
      <w:r w:rsidRPr="003B0EDE">
        <w:rPr>
          <w:rStyle w:val="normaltextrun"/>
        </w:rPr>
        <w:t xml:space="preserve"> </w:t>
      </w:r>
      <w:r w:rsidR="00771CAE">
        <w:rPr>
          <w:rStyle w:val="normaltextrun"/>
        </w:rPr>
        <w:t>Company’s secure</w:t>
      </w:r>
      <w:r w:rsidRPr="003B0EDE">
        <w:rPr>
          <w:rStyle w:val="normaltextrun"/>
        </w:rPr>
        <w:t xml:space="preserve"> site that contains Texas retail electric market transaction data available only to the REP of Record that is serving a customer’s premises and provides automated requests for historical usage for a premise, which is offered to REPs and other parties utilizing a </w:t>
      </w:r>
      <w:r w:rsidRPr="003B0EDE">
        <w:rPr>
          <w:rStyle w:val="normaltextrun"/>
          <w:color w:val="000000"/>
        </w:rPr>
        <w:t xml:space="preserve">Letter of Authorization </w:t>
      </w:r>
      <w:r w:rsidRPr="003B0EDE">
        <w:rPr>
          <w:rStyle w:val="normaltextrun"/>
        </w:rPr>
        <w:t>from the customer.</w:t>
      </w:r>
      <w:r w:rsidRPr="003B0EDE">
        <w:rPr>
          <w:rStyle w:val="eop"/>
        </w:rPr>
        <w:t> </w:t>
      </w:r>
    </w:p>
    <w:p w14:paraId="4785A8E8" w14:textId="2CBA63DE" w:rsidR="00CE2BF3" w:rsidRPr="003B0EDE" w:rsidRDefault="00CE2BF3" w:rsidP="00183989">
      <w:pPr>
        <w:pStyle w:val="paragraph"/>
        <w:spacing w:before="0" w:beforeAutospacing="0" w:after="240" w:afterAutospacing="0"/>
        <w:jc w:val="both"/>
        <w:textAlignment w:val="baseline"/>
      </w:pPr>
      <w:r w:rsidRPr="00183989">
        <w:rPr>
          <w:rStyle w:val="normaltextrun"/>
          <w:b/>
          <w:bCs/>
        </w:rPr>
        <w:t>Customer</w:t>
      </w:r>
      <w:r w:rsidR="00AD400C" w:rsidRPr="007840EE">
        <w:rPr>
          <w:rStyle w:val="normaltextrun"/>
          <w:b/>
          <w:bCs/>
        </w:rPr>
        <w:t>.</w:t>
      </w:r>
      <w:r w:rsidR="00AD400C">
        <w:rPr>
          <w:rStyle w:val="normaltextrun"/>
        </w:rPr>
        <w:t xml:space="preserve"> </w:t>
      </w:r>
      <w:r w:rsidRPr="003B0EDE">
        <w:rPr>
          <w:rStyle w:val="normaltextrun"/>
        </w:rPr>
        <w:t xml:space="preserve"> An Entity that purchases electricity for its own consumption.</w:t>
      </w:r>
      <w:r w:rsidRPr="003B0EDE">
        <w:rPr>
          <w:rStyle w:val="eop"/>
        </w:rPr>
        <w:t> </w:t>
      </w:r>
    </w:p>
    <w:p w14:paraId="3A072238" w14:textId="2F489425" w:rsidR="00CE2BF3" w:rsidRPr="003B0EDE" w:rsidRDefault="00CE2BF3" w:rsidP="00183989">
      <w:pPr>
        <w:pStyle w:val="paragraph"/>
        <w:spacing w:before="0" w:beforeAutospacing="0" w:after="240" w:afterAutospacing="0"/>
        <w:jc w:val="both"/>
        <w:textAlignment w:val="baseline"/>
      </w:pPr>
      <w:r w:rsidRPr="00183989">
        <w:rPr>
          <w:rStyle w:val="normaltextrun"/>
          <w:b/>
          <w:bCs/>
        </w:rPr>
        <w:t>Demand and Energy Information System</w:t>
      </w:r>
      <w:r w:rsidR="00771CAE" w:rsidRPr="00183989">
        <w:rPr>
          <w:rStyle w:val="normaltextrun"/>
          <w:b/>
          <w:bCs/>
        </w:rPr>
        <w:t xml:space="preserve"> (“</w:t>
      </w:r>
      <w:r w:rsidR="00771CAE" w:rsidRPr="00272317">
        <w:rPr>
          <w:rStyle w:val="normaltextrun"/>
          <w:b/>
          <w:bCs/>
        </w:rPr>
        <w:t>DEIS”)</w:t>
      </w:r>
      <w:r w:rsidRPr="00183989">
        <w:rPr>
          <w:rStyle w:val="normaltextrun"/>
          <w:b/>
          <w:bCs/>
        </w:rPr>
        <w:t>.</w:t>
      </w:r>
      <w:r w:rsidRPr="003B0EDE">
        <w:rPr>
          <w:rStyle w:val="normaltextrun"/>
        </w:rPr>
        <w:t xml:space="preserve">  </w:t>
      </w:r>
      <w:r w:rsidR="00272317">
        <w:rPr>
          <w:rStyle w:val="normaltextrun"/>
          <w:color w:val="000000"/>
        </w:rPr>
        <w:t>An</w:t>
      </w:r>
      <w:r w:rsidRPr="003B0EDE">
        <w:rPr>
          <w:rStyle w:val="normaltextrun"/>
          <w:color w:val="000000"/>
        </w:rPr>
        <w:t xml:space="preserve"> automated system that is utilized by end-use retail customers to access usage information about their specific personal premises.  </w:t>
      </w:r>
      <w:r w:rsidRPr="003B0EDE">
        <w:rPr>
          <w:rStyle w:val="eop"/>
          <w:color w:val="000000"/>
        </w:rPr>
        <w:t> </w:t>
      </w:r>
    </w:p>
    <w:p w14:paraId="492C2656" w14:textId="6CFB5222" w:rsidR="00CE2BF3" w:rsidRPr="003B0EDE" w:rsidRDefault="00CE2BF3" w:rsidP="00183989">
      <w:pPr>
        <w:pStyle w:val="paragraph"/>
        <w:spacing w:before="0" w:beforeAutospacing="0" w:after="240" w:afterAutospacing="0"/>
        <w:jc w:val="both"/>
        <w:textAlignment w:val="baseline"/>
      </w:pPr>
      <w:r w:rsidRPr="00183989">
        <w:rPr>
          <w:rStyle w:val="normaltextrun"/>
          <w:b/>
          <w:bCs/>
        </w:rPr>
        <w:t>Electronic Data Interchange</w:t>
      </w:r>
      <w:r w:rsidR="00272317" w:rsidRPr="00183989">
        <w:rPr>
          <w:rStyle w:val="normaltextrun"/>
          <w:b/>
          <w:bCs/>
        </w:rPr>
        <w:t xml:space="preserve"> (“EDI”)</w:t>
      </w:r>
      <w:r w:rsidRPr="00183989">
        <w:rPr>
          <w:rStyle w:val="normaltextrun"/>
          <w:b/>
          <w:bCs/>
        </w:rPr>
        <w:t>.</w:t>
      </w:r>
      <w:r w:rsidRPr="003B0EDE">
        <w:rPr>
          <w:rStyle w:val="normaltextrun"/>
        </w:rPr>
        <w:t xml:space="preserve">  Participants in the </w:t>
      </w:r>
      <w:r w:rsidR="00272317">
        <w:rPr>
          <w:rStyle w:val="normaltextrun"/>
        </w:rPr>
        <w:t>ERCOT</w:t>
      </w:r>
      <w:r w:rsidRPr="003B0EDE">
        <w:rPr>
          <w:rStyle w:val="normaltextrun"/>
        </w:rPr>
        <w:t xml:space="preserve"> retail electric market communicate all customer-related enrollment and service orders, all premise information, and meter reading and usage data through EDI transactions that are processed using TX SET guidelines.  </w:t>
      </w:r>
      <w:r w:rsidRPr="003B0EDE">
        <w:rPr>
          <w:rStyle w:val="eop"/>
        </w:rPr>
        <w:t> </w:t>
      </w:r>
    </w:p>
    <w:p w14:paraId="66A1D13D" w14:textId="5543188D" w:rsidR="00CE2BF3" w:rsidRPr="003B0EDE" w:rsidRDefault="00C20CCA" w:rsidP="00183989">
      <w:pPr>
        <w:pStyle w:val="paragraph"/>
        <w:spacing w:before="0" w:beforeAutospacing="0" w:after="240" w:afterAutospacing="0"/>
        <w:jc w:val="both"/>
        <w:textAlignment w:val="baseline"/>
      </w:pPr>
      <w:r w:rsidRPr="00183989">
        <w:rPr>
          <w:rStyle w:val="normaltextrun"/>
          <w:b/>
          <w:bCs/>
        </w:rPr>
        <w:t xml:space="preserve">Electric </w:t>
      </w:r>
      <w:r w:rsidR="00CE2BF3" w:rsidRPr="00183989">
        <w:rPr>
          <w:rStyle w:val="normaltextrun"/>
          <w:b/>
          <w:bCs/>
        </w:rPr>
        <w:t>Reliability Council of Texas</w:t>
      </w:r>
      <w:r w:rsidRPr="00183989">
        <w:rPr>
          <w:rStyle w:val="normaltextrun"/>
          <w:b/>
          <w:bCs/>
        </w:rPr>
        <w:t>, Inc. (“ERCOT”)</w:t>
      </w:r>
      <w:r w:rsidR="00CE2BF3" w:rsidRPr="00183989">
        <w:rPr>
          <w:rStyle w:val="normaltextrun"/>
          <w:b/>
          <w:bCs/>
        </w:rPr>
        <w:t>.</w:t>
      </w:r>
      <w:r w:rsidR="00CE2BF3" w:rsidRPr="003B0EDE">
        <w:rPr>
          <w:rStyle w:val="normaltextrun"/>
        </w:rPr>
        <w:t xml:space="preserve">  </w:t>
      </w:r>
      <w:r w:rsidR="00673E40">
        <w:rPr>
          <w:rStyle w:val="normaltextrun"/>
        </w:rPr>
        <w:t>T</w:t>
      </w:r>
      <w:r w:rsidR="00673E40" w:rsidRPr="00673E40">
        <w:rPr>
          <w:rStyle w:val="normaltextrun"/>
        </w:rPr>
        <w:t>he independent organization and, in a geographic sense, refers to the area served by electric utilities, municipally owned utilities, and electric cooperatives that are not synchronously interconnected with electric utilities outside of the State of Texas.</w:t>
      </w:r>
      <w:r w:rsidR="00673E40">
        <w:rPr>
          <w:rStyle w:val="normaltextrun"/>
        </w:rPr>
        <w:t xml:space="preserve"> </w:t>
      </w:r>
      <w:r w:rsidR="00356856">
        <w:rPr>
          <w:rStyle w:val="normaltextrun"/>
        </w:rPr>
        <w:t>ERCOT is the independent system operator (“ISO”)</w:t>
      </w:r>
      <w:r w:rsidR="00CE2BF3" w:rsidRPr="003B0EDE">
        <w:rPr>
          <w:rStyle w:val="normaltextrun"/>
        </w:rPr>
        <w:t xml:space="preserve"> manages the flow of electric power to Texas customers and manages financial settlement for the competitive wholesale bulk-power market and administers customer switching for Texans in competitive choice areas.  </w:t>
      </w:r>
    </w:p>
    <w:p w14:paraId="34374CB8" w14:textId="010A0C4F" w:rsidR="00CE2BF3" w:rsidRPr="0005713B" w:rsidRDefault="00CE2BF3" w:rsidP="00183989">
      <w:pPr>
        <w:pStyle w:val="paragraph"/>
        <w:spacing w:before="0" w:beforeAutospacing="0" w:after="240" w:afterAutospacing="0"/>
        <w:jc w:val="both"/>
        <w:textAlignment w:val="baseline"/>
      </w:pPr>
      <w:r w:rsidRPr="00183989">
        <w:rPr>
          <w:rStyle w:val="normaltextrun"/>
          <w:b/>
          <w:bCs/>
        </w:rPr>
        <w:t>ERCOT</w:t>
      </w:r>
      <w:r w:rsidR="0005713B">
        <w:rPr>
          <w:rStyle w:val="normaltextrun"/>
          <w:b/>
          <w:bCs/>
        </w:rPr>
        <w:t xml:space="preserve"> P</w:t>
      </w:r>
      <w:r w:rsidRPr="00183989">
        <w:rPr>
          <w:rStyle w:val="normaltextrun"/>
          <w:b/>
          <w:bCs/>
        </w:rPr>
        <w:t>rotocols</w:t>
      </w:r>
      <w:r w:rsidRPr="0005713B">
        <w:rPr>
          <w:rStyle w:val="normaltextrun"/>
        </w:rPr>
        <w:t xml:space="preserve"> – Body of procedures developed by ERCOT to maintain the reliability of the regional electric network and account for the production and delivery of electricity among resources and market participants.  The procedures, initially approved by the Commission, include a revisions process that may be appealed to the Commission, and are subject to the oversight and review of the Commission.</w:t>
      </w:r>
      <w:r w:rsidRPr="0005713B">
        <w:rPr>
          <w:rStyle w:val="eop"/>
        </w:rPr>
        <w:t> </w:t>
      </w:r>
    </w:p>
    <w:p w14:paraId="001CEAF9" w14:textId="4DB8B79E" w:rsidR="00CE2BF3" w:rsidRPr="003B0EDE" w:rsidRDefault="00CE2BF3" w:rsidP="00183989">
      <w:pPr>
        <w:pStyle w:val="paragraph"/>
        <w:spacing w:before="0" w:beforeAutospacing="0" w:after="240" w:afterAutospacing="0"/>
        <w:jc w:val="both"/>
        <w:textAlignment w:val="baseline"/>
      </w:pPr>
      <w:r w:rsidRPr="00183989">
        <w:rPr>
          <w:rStyle w:val="normaltextrun"/>
          <w:b/>
          <w:bCs/>
        </w:rPr>
        <w:t>Electric Service Identifier</w:t>
      </w:r>
      <w:r w:rsidR="0005713B" w:rsidRPr="00183989">
        <w:rPr>
          <w:rStyle w:val="normaltextrun"/>
          <w:b/>
          <w:bCs/>
        </w:rPr>
        <w:t xml:space="preserve"> (“ESI-ID”)</w:t>
      </w:r>
      <w:r w:rsidRPr="00183989">
        <w:rPr>
          <w:rStyle w:val="normaltextrun"/>
          <w:b/>
          <w:bCs/>
        </w:rPr>
        <w:t>.</w:t>
      </w:r>
      <w:r w:rsidRPr="003B0EDE">
        <w:rPr>
          <w:rStyle w:val="normaltextrun"/>
        </w:rPr>
        <w:t>  The basic identifier assigned to each point of delivery used in the registration system and settlement system managed by ERCOT. </w:t>
      </w:r>
      <w:r w:rsidRPr="003B0EDE">
        <w:rPr>
          <w:rStyle w:val="eop"/>
        </w:rPr>
        <w:t> </w:t>
      </w:r>
    </w:p>
    <w:p w14:paraId="1E6A2446" w14:textId="29253245" w:rsidR="00CE2BF3" w:rsidRPr="003B0EDE" w:rsidRDefault="00CE2BF3" w:rsidP="00183989">
      <w:pPr>
        <w:pStyle w:val="paragraph"/>
        <w:spacing w:before="0" w:beforeAutospacing="0" w:after="240" w:afterAutospacing="0"/>
        <w:jc w:val="both"/>
        <w:textAlignment w:val="baseline"/>
      </w:pPr>
      <w:r w:rsidRPr="00183989">
        <w:rPr>
          <w:rStyle w:val="normaltextrun"/>
          <w:b/>
          <w:bCs/>
        </w:rPr>
        <w:t>Interval Data Recorder</w:t>
      </w:r>
      <w:r w:rsidR="0005713B" w:rsidRPr="00183989">
        <w:rPr>
          <w:rStyle w:val="normaltextrun"/>
          <w:b/>
          <w:bCs/>
        </w:rPr>
        <w:t xml:space="preserve"> (“IDR”)</w:t>
      </w:r>
      <w:r w:rsidRPr="00183989">
        <w:rPr>
          <w:rStyle w:val="normaltextrun"/>
          <w:b/>
          <w:bCs/>
        </w:rPr>
        <w:t>.</w:t>
      </w:r>
      <w:r w:rsidRPr="003B0EDE">
        <w:rPr>
          <w:rStyle w:val="normaltextrun"/>
        </w:rPr>
        <w:t xml:space="preserve"> Metering Equipment that is designed to provide Interval Data and does not otherwise qualify as a Standard Meter or an AMS Meter.</w:t>
      </w:r>
      <w:r w:rsidRPr="003B0EDE">
        <w:rPr>
          <w:rStyle w:val="eop"/>
        </w:rPr>
        <w:t> </w:t>
      </w:r>
    </w:p>
    <w:p w14:paraId="029FB0AA" w14:textId="72B55E5A" w:rsidR="00CE2BF3" w:rsidRPr="003B0EDE" w:rsidRDefault="00CE2BF3" w:rsidP="00183989">
      <w:pPr>
        <w:pStyle w:val="paragraph"/>
        <w:spacing w:before="0" w:beforeAutospacing="0" w:after="240" w:afterAutospacing="0"/>
        <w:jc w:val="both"/>
        <w:textAlignment w:val="baseline"/>
      </w:pPr>
      <w:r w:rsidRPr="00183989">
        <w:rPr>
          <w:rStyle w:val="normaltextrun"/>
          <w:b/>
          <w:bCs/>
        </w:rPr>
        <w:t>Joint Development and Operations Agreement</w:t>
      </w:r>
      <w:r w:rsidR="0005713B" w:rsidRPr="00183989">
        <w:rPr>
          <w:rStyle w:val="normaltextrun"/>
          <w:b/>
          <w:bCs/>
        </w:rPr>
        <w:t xml:space="preserve"> (“JDOA”)</w:t>
      </w:r>
      <w:r w:rsidRPr="00183989">
        <w:rPr>
          <w:rStyle w:val="normaltextrun"/>
          <w:b/>
          <w:bCs/>
        </w:rPr>
        <w:t xml:space="preserve">.  </w:t>
      </w:r>
      <w:r w:rsidR="00783FA2">
        <w:rPr>
          <w:rStyle w:val="normaltextrun"/>
        </w:rPr>
        <w:t xml:space="preserve">The agreement under which </w:t>
      </w:r>
      <w:r w:rsidRPr="0005713B">
        <w:rPr>
          <w:rStyle w:val="normaltextrun"/>
        </w:rPr>
        <w:t>CenterPoint</w:t>
      </w:r>
      <w:r w:rsidRPr="00183989">
        <w:rPr>
          <w:rStyle w:val="normaltextrun"/>
          <w:b/>
          <w:bCs/>
        </w:rPr>
        <w:t xml:space="preserve"> </w:t>
      </w:r>
      <w:r w:rsidRPr="003B0EDE">
        <w:rPr>
          <w:rStyle w:val="normaltextrun"/>
        </w:rPr>
        <w:t xml:space="preserve">Energy Houston Electric, LLC, Oncor Electric Delivery Company, AEP Texas Central Company, AEP Texas North Company, and Texas-New Mexico Power Company are the parties </w:t>
      </w:r>
      <w:r w:rsidR="00783FA2">
        <w:rPr>
          <w:rStyle w:val="normaltextrun"/>
        </w:rPr>
        <w:t>with a third-party service provider</w:t>
      </w:r>
      <w:r w:rsidRPr="003B0EDE">
        <w:rPr>
          <w:rStyle w:val="normaltextrun"/>
        </w:rPr>
        <w:t xml:space="preserve"> for the design, development, and operation of SMT portal.</w:t>
      </w:r>
      <w:r w:rsidRPr="003B0EDE">
        <w:rPr>
          <w:rStyle w:val="eop"/>
        </w:rPr>
        <w:t> </w:t>
      </w:r>
    </w:p>
    <w:p w14:paraId="69409DF5" w14:textId="49BFA4D7" w:rsidR="00CE2BF3" w:rsidRPr="003B0EDE" w:rsidRDefault="00CE2BF3" w:rsidP="00183989">
      <w:pPr>
        <w:pStyle w:val="paragraph"/>
        <w:spacing w:before="0" w:beforeAutospacing="0" w:after="240" w:afterAutospacing="0"/>
        <w:jc w:val="both"/>
        <w:textAlignment w:val="baseline"/>
      </w:pPr>
      <w:r w:rsidRPr="00183989">
        <w:rPr>
          <w:rStyle w:val="normaltextrun"/>
          <w:b/>
          <w:bCs/>
        </w:rPr>
        <w:lastRenderedPageBreak/>
        <w:t>Load Profile</w:t>
      </w:r>
      <w:r w:rsidR="00783FA2" w:rsidRPr="00183989">
        <w:rPr>
          <w:rStyle w:val="normaltextrun"/>
          <w:b/>
          <w:bCs/>
        </w:rPr>
        <w:t>.</w:t>
      </w:r>
      <w:r w:rsidR="00783FA2">
        <w:rPr>
          <w:rStyle w:val="normaltextrun"/>
        </w:rPr>
        <w:t xml:space="preserve"> </w:t>
      </w:r>
      <w:r w:rsidRPr="003B0EDE">
        <w:rPr>
          <w:rStyle w:val="normaltextrun"/>
        </w:rPr>
        <w:t>A representation of the energy usages of a group of Customers, showing the demand variation on an hourly or sub-hourly basis.</w:t>
      </w:r>
      <w:r w:rsidRPr="003B0EDE">
        <w:rPr>
          <w:rStyle w:val="eop"/>
        </w:rPr>
        <w:t> </w:t>
      </w:r>
    </w:p>
    <w:p w14:paraId="62B3D79F" w14:textId="4CAB3DF0" w:rsidR="00CE2BF3" w:rsidRPr="003B0EDE" w:rsidRDefault="00CE2BF3" w:rsidP="00183989">
      <w:pPr>
        <w:pStyle w:val="paragraph"/>
        <w:spacing w:before="0" w:beforeAutospacing="0" w:after="240" w:afterAutospacing="0"/>
        <w:jc w:val="both"/>
        <w:textAlignment w:val="baseline"/>
      </w:pPr>
      <w:r w:rsidRPr="00183989">
        <w:rPr>
          <w:rStyle w:val="normaltextrun"/>
          <w:b/>
          <w:bCs/>
        </w:rPr>
        <w:t>MarkeTrak</w:t>
      </w:r>
      <w:r w:rsidR="00955620" w:rsidRPr="00183989">
        <w:rPr>
          <w:rStyle w:val="normaltextrun"/>
          <w:b/>
          <w:bCs/>
        </w:rPr>
        <w:t>.</w:t>
      </w:r>
      <w:r w:rsidR="00955620">
        <w:rPr>
          <w:rStyle w:val="normaltextrun"/>
        </w:rPr>
        <w:t xml:space="preserve"> </w:t>
      </w:r>
      <w:r w:rsidRPr="003B0EDE">
        <w:rPr>
          <w:rStyle w:val="normaltextrun"/>
        </w:rPr>
        <w:t xml:space="preserve"> </w:t>
      </w:r>
      <w:r w:rsidR="00783FA2">
        <w:rPr>
          <w:rStyle w:val="normaltextrun"/>
        </w:rPr>
        <w:t xml:space="preserve">A </w:t>
      </w:r>
      <w:r w:rsidRPr="003B0EDE">
        <w:rPr>
          <w:rStyle w:val="normaltextrun"/>
        </w:rPr>
        <w:t xml:space="preserve">web-based database application </w:t>
      </w:r>
      <w:r w:rsidR="00783FA2">
        <w:rPr>
          <w:rStyle w:val="normaltextrun"/>
        </w:rPr>
        <w:t xml:space="preserve">used by ERCOT, TDSPs and CRs </w:t>
      </w:r>
      <w:r w:rsidRPr="003B0EDE">
        <w:rPr>
          <w:rStyle w:val="normaltextrun"/>
        </w:rPr>
        <w:t xml:space="preserve">to track, manage and store </w:t>
      </w:r>
      <w:r w:rsidR="00955620">
        <w:rPr>
          <w:rStyle w:val="normaltextrun"/>
        </w:rPr>
        <w:t>retail and customer</w:t>
      </w:r>
      <w:r w:rsidRPr="003B0EDE">
        <w:rPr>
          <w:rStyle w:val="normaltextrun"/>
        </w:rPr>
        <w:t>.  </w:t>
      </w:r>
      <w:r w:rsidRPr="003B0EDE">
        <w:rPr>
          <w:rStyle w:val="eop"/>
        </w:rPr>
        <w:t> </w:t>
      </w:r>
    </w:p>
    <w:p w14:paraId="172A8C96" w14:textId="70379A2A" w:rsidR="00CE2BF3" w:rsidRPr="003B0EDE" w:rsidRDefault="00CE2BF3" w:rsidP="00183989">
      <w:pPr>
        <w:pStyle w:val="paragraph"/>
        <w:spacing w:before="0" w:beforeAutospacing="0" w:after="240" w:afterAutospacing="0"/>
        <w:jc w:val="both"/>
        <w:textAlignment w:val="baseline"/>
      </w:pPr>
      <w:r w:rsidRPr="00183989">
        <w:rPr>
          <w:rStyle w:val="normaltextrun"/>
          <w:b/>
          <w:bCs/>
          <w:color w:val="221E1F"/>
        </w:rPr>
        <w:t>Premise</w:t>
      </w:r>
      <w:r w:rsidR="00955620" w:rsidRPr="00183989">
        <w:rPr>
          <w:rStyle w:val="normaltextrun"/>
          <w:b/>
          <w:bCs/>
          <w:color w:val="221E1F"/>
        </w:rPr>
        <w:t>.</w:t>
      </w:r>
      <w:r w:rsidR="00955620">
        <w:rPr>
          <w:rStyle w:val="normaltextrun"/>
          <w:color w:val="221E1F"/>
        </w:rPr>
        <w:t xml:space="preserve"> </w:t>
      </w:r>
      <w:r w:rsidRPr="003B0EDE">
        <w:rPr>
          <w:rStyle w:val="normaltextrun"/>
          <w:color w:val="221E1F"/>
        </w:rPr>
        <w:t>A Service Delivery Point or combination of Service Delivery Points that are assigned a single ESI-ID for purposes of settlement and registration.</w:t>
      </w:r>
      <w:r w:rsidRPr="003B0EDE">
        <w:rPr>
          <w:rStyle w:val="eop"/>
          <w:color w:val="221E1F"/>
        </w:rPr>
        <w:t> </w:t>
      </w:r>
    </w:p>
    <w:p w14:paraId="3E28F83B" w14:textId="4EF2F6AF" w:rsidR="00CE2BF3" w:rsidRPr="003B0EDE" w:rsidRDefault="00CE2BF3" w:rsidP="00183989">
      <w:pPr>
        <w:pStyle w:val="paragraph"/>
        <w:spacing w:before="0" w:beforeAutospacing="0" w:after="240" w:afterAutospacing="0"/>
        <w:jc w:val="both"/>
        <w:textAlignment w:val="baseline"/>
      </w:pPr>
      <w:r w:rsidRPr="00183989">
        <w:rPr>
          <w:rStyle w:val="normaltextrun"/>
          <w:b/>
          <w:bCs/>
          <w:color w:val="221E1F"/>
        </w:rPr>
        <w:t xml:space="preserve">Retail </w:t>
      </w:r>
      <w:r w:rsidR="00955620" w:rsidRPr="00183989">
        <w:rPr>
          <w:rStyle w:val="normaltextrun"/>
          <w:b/>
          <w:bCs/>
          <w:color w:val="221E1F"/>
        </w:rPr>
        <w:t>C</w:t>
      </w:r>
      <w:r w:rsidRPr="00183989">
        <w:rPr>
          <w:rStyle w:val="normaltextrun"/>
          <w:b/>
          <w:bCs/>
          <w:color w:val="221E1F"/>
        </w:rPr>
        <w:t>ustomer</w:t>
      </w:r>
      <w:r w:rsidR="00955620" w:rsidRPr="00183989">
        <w:rPr>
          <w:rStyle w:val="normaltextrun"/>
          <w:b/>
          <w:bCs/>
          <w:color w:val="221E1F"/>
        </w:rPr>
        <w:t>.</w:t>
      </w:r>
      <w:r w:rsidR="00955620">
        <w:rPr>
          <w:rStyle w:val="normaltextrun"/>
          <w:color w:val="221E1F"/>
        </w:rPr>
        <w:t xml:space="preserve"> </w:t>
      </w:r>
      <w:r w:rsidRPr="003B0EDE">
        <w:rPr>
          <w:rStyle w:val="normaltextrun"/>
          <w:color w:val="221E1F"/>
        </w:rPr>
        <w:t>The separately metered end-use customer who purchases and ultimately consumes electricity.</w:t>
      </w:r>
      <w:r w:rsidRPr="003B0EDE">
        <w:rPr>
          <w:rStyle w:val="eop"/>
          <w:color w:val="221E1F"/>
        </w:rPr>
        <w:t> </w:t>
      </w:r>
    </w:p>
    <w:p w14:paraId="3EEBDAD4" w14:textId="2F3F57E9" w:rsidR="00CE2BF3" w:rsidRPr="003B0EDE" w:rsidRDefault="00CE2BF3" w:rsidP="00183989">
      <w:pPr>
        <w:pStyle w:val="paragraph"/>
        <w:spacing w:before="0" w:beforeAutospacing="0" w:after="240" w:afterAutospacing="0"/>
        <w:jc w:val="both"/>
        <w:textAlignment w:val="baseline"/>
      </w:pPr>
      <w:r w:rsidRPr="00183989">
        <w:rPr>
          <w:rStyle w:val="normaltextrun"/>
          <w:b/>
          <w:bCs/>
          <w:color w:val="221E1F"/>
        </w:rPr>
        <w:t>Regulatory Asset</w:t>
      </w:r>
      <w:r w:rsidR="00955620" w:rsidRPr="00183989">
        <w:rPr>
          <w:rStyle w:val="normaltextrun"/>
          <w:b/>
          <w:bCs/>
          <w:color w:val="221E1F"/>
        </w:rPr>
        <w:t>.</w:t>
      </w:r>
      <w:r w:rsidR="00955620">
        <w:rPr>
          <w:rStyle w:val="normaltextrun"/>
          <w:color w:val="221E1F"/>
        </w:rPr>
        <w:t xml:space="preserve"> A</w:t>
      </w:r>
      <w:r w:rsidRPr="003B0EDE">
        <w:rPr>
          <w:rStyle w:val="normaltextrun"/>
          <w:color w:val="221E1F"/>
        </w:rPr>
        <w:t xml:space="preserve"> regulatory asset for bad debt expenses, net of collateral posted, resulting from a REP’s default to pay delivery charges to </w:t>
      </w:r>
      <w:r w:rsidR="00831CBB">
        <w:rPr>
          <w:rStyle w:val="normaltextrun"/>
          <w:color w:val="221E1F"/>
        </w:rPr>
        <w:t>a</w:t>
      </w:r>
      <w:r w:rsidRPr="003B0EDE">
        <w:rPr>
          <w:rStyle w:val="normaltextrun"/>
          <w:color w:val="221E1F"/>
        </w:rPr>
        <w:t xml:space="preserve"> TDU. Upon a review of reasonableness and necessity, a reasonable level of amortization of such regulatory asset shall be included as a recoverable cost in the TDU’s rates in its next rate case or such other rate recovery proceeding as deemed necessary.</w:t>
      </w:r>
      <w:r w:rsidRPr="003B0EDE">
        <w:rPr>
          <w:rStyle w:val="eop"/>
          <w:color w:val="221E1F"/>
        </w:rPr>
        <w:t> </w:t>
      </w:r>
    </w:p>
    <w:p w14:paraId="44848F6C" w14:textId="4FEB85C8" w:rsidR="00CE2BF3" w:rsidRPr="003B0EDE" w:rsidRDefault="00CE2BF3" w:rsidP="00183989">
      <w:pPr>
        <w:pStyle w:val="paragraph"/>
        <w:spacing w:before="0" w:beforeAutospacing="0" w:after="240" w:afterAutospacing="0"/>
        <w:jc w:val="both"/>
        <w:textAlignment w:val="baseline"/>
      </w:pPr>
      <w:r w:rsidRPr="00183989">
        <w:rPr>
          <w:rStyle w:val="normaltextrun"/>
          <w:b/>
          <w:bCs/>
        </w:rPr>
        <w:t>Retail Electric Provider</w:t>
      </w:r>
      <w:r w:rsidR="00831CBB" w:rsidRPr="00183989">
        <w:rPr>
          <w:rStyle w:val="normaltextrun"/>
          <w:b/>
          <w:bCs/>
        </w:rPr>
        <w:t xml:space="preserve"> (“REP”)</w:t>
      </w:r>
      <w:r w:rsidRPr="00183989">
        <w:rPr>
          <w:rStyle w:val="normaltextrun"/>
          <w:b/>
          <w:bCs/>
        </w:rPr>
        <w:t>.</w:t>
      </w:r>
      <w:r w:rsidRPr="003B0EDE">
        <w:rPr>
          <w:rStyle w:val="normaltextrun"/>
        </w:rPr>
        <w:t>  A person that sells electric energy to retail customers in this state.</w:t>
      </w:r>
      <w:r w:rsidRPr="003B0EDE">
        <w:rPr>
          <w:rStyle w:val="eop"/>
        </w:rPr>
        <w:t> </w:t>
      </w:r>
    </w:p>
    <w:p w14:paraId="20EF1BAD" w14:textId="5DA4D7E0" w:rsidR="00CE2BF3" w:rsidRPr="003B0EDE" w:rsidRDefault="00CE2BF3" w:rsidP="00183989">
      <w:pPr>
        <w:pStyle w:val="paragraph"/>
        <w:spacing w:before="0" w:beforeAutospacing="0" w:after="240" w:afterAutospacing="0"/>
        <w:jc w:val="both"/>
        <w:textAlignment w:val="baseline"/>
      </w:pPr>
      <w:r w:rsidRPr="00183989">
        <w:rPr>
          <w:rStyle w:val="normaltextrun"/>
          <w:b/>
          <w:bCs/>
        </w:rPr>
        <w:t>Smart Meter Texas</w:t>
      </w:r>
      <w:r w:rsidR="00831CBB" w:rsidRPr="00183989">
        <w:rPr>
          <w:rStyle w:val="normaltextrun"/>
          <w:b/>
          <w:bCs/>
        </w:rPr>
        <w:t xml:space="preserve"> (“SMT”)</w:t>
      </w:r>
      <w:r w:rsidRPr="00183989">
        <w:rPr>
          <w:rStyle w:val="normaltextrun"/>
          <w:b/>
          <w:bCs/>
        </w:rPr>
        <w:t>.</w:t>
      </w:r>
      <w:r w:rsidRPr="003B0EDE">
        <w:rPr>
          <w:rStyle w:val="normaltextrun"/>
        </w:rPr>
        <w:t xml:space="preserve">  A website sponsored by a coalition of TDSPs.  The site stores daily, monthly and 15-minute intervals of electric energy data recorded by digital electric meters (commonly known as smart meters) and provides secure portal access to that data to customers and authorized market participants.  SMT enables customers to better manage their energy consumption to lower their monthly electric bills, and benefit from new products and services offered by REPs and </w:t>
      </w:r>
      <w:r w:rsidR="000A58A5">
        <w:rPr>
          <w:rStyle w:val="normaltextrun"/>
        </w:rPr>
        <w:t>third parties</w:t>
      </w:r>
      <w:r w:rsidRPr="003B0EDE">
        <w:rPr>
          <w:rStyle w:val="normaltextrun"/>
        </w:rPr>
        <w:t>.</w:t>
      </w:r>
      <w:r w:rsidRPr="003B0EDE">
        <w:rPr>
          <w:rStyle w:val="eop"/>
        </w:rPr>
        <w:t> </w:t>
      </w:r>
    </w:p>
    <w:p w14:paraId="3F412A26" w14:textId="710F32C0" w:rsidR="00CE2BF3" w:rsidRPr="003B0EDE" w:rsidRDefault="00CE2BF3" w:rsidP="00183989">
      <w:pPr>
        <w:pStyle w:val="paragraph"/>
        <w:spacing w:before="0" w:beforeAutospacing="0" w:after="240" w:afterAutospacing="0"/>
        <w:jc w:val="both"/>
        <w:textAlignment w:val="baseline"/>
      </w:pPr>
      <w:r w:rsidRPr="00183989">
        <w:rPr>
          <w:rStyle w:val="normaltextrun"/>
          <w:b/>
          <w:bCs/>
        </w:rPr>
        <w:t>System Restoration Charge</w:t>
      </w:r>
      <w:r w:rsidR="00EE2AB2" w:rsidRPr="00183989">
        <w:rPr>
          <w:rStyle w:val="normaltextrun"/>
          <w:b/>
          <w:bCs/>
        </w:rPr>
        <w:t xml:space="preserve"> (“SRC”).</w:t>
      </w:r>
      <w:r w:rsidR="00EE2AB2">
        <w:rPr>
          <w:rStyle w:val="normaltextrun"/>
        </w:rPr>
        <w:t xml:space="preserve"> A b</w:t>
      </w:r>
      <w:r w:rsidRPr="003B0EDE">
        <w:rPr>
          <w:rStyle w:val="normaltextrun"/>
        </w:rPr>
        <w:t>ond issuance related to Hurricane Ike.</w:t>
      </w:r>
      <w:r w:rsidRPr="003B0EDE">
        <w:rPr>
          <w:rStyle w:val="eop"/>
        </w:rPr>
        <w:t> </w:t>
      </w:r>
    </w:p>
    <w:p w14:paraId="416137F8" w14:textId="71CAE8DB" w:rsidR="00CE2BF3" w:rsidRPr="003B0EDE" w:rsidRDefault="00CE2BF3" w:rsidP="00183989">
      <w:pPr>
        <w:pStyle w:val="paragraph"/>
        <w:spacing w:before="0" w:beforeAutospacing="0" w:after="240" w:afterAutospacing="0"/>
        <w:jc w:val="both"/>
        <w:textAlignment w:val="baseline"/>
      </w:pPr>
      <w:r w:rsidRPr="00183989">
        <w:rPr>
          <w:rStyle w:val="normaltextrun"/>
          <w:b/>
          <w:bCs/>
        </w:rPr>
        <w:t>Tariff</w:t>
      </w:r>
      <w:r w:rsidR="00EE2AB2" w:rsidRPr="00183989">
        <w:rPr>
          <w:rStyle w:val="normaltextrun"/>
          <w:b/>
          <w:bCs/>
        </w:rPr>
        <w:t>.</w:t>
      </w:r>
      <w:r w:rsidR="00EE2AB2">
        <w:rPr>
          <w:rStyle w:val="normaltextrun"/>
        </w:rPr>
        <w:t xml:space="preserve"> </w:t>
      </w:r>
      <w:r w:rsidR="005B4E42">
        <w:t>The schedule of a utility, municipally-owned utility, or electric cooperative containing all rates and charges stated separately by type of service, the rules and regulations of the utility, and any contracts that affect rates, charges, terms or conditions of service. The use of “Tariff” throughout this testimony refers to CenterPoint Houston’s</w:t>
      </w:r>
      <w:r w:rsidRPr="003B0EDE">
        <w:rPr>
          <w:rStyle w:val="normaltextrun"/>
          <w:color w:val="000000"/>
        </w:rPr>
        <w:t xml:space="preserve"> Tariff for Retail Delivery Service.</w:t>
      </w:r>
      <w:r w:rsidRPr="003B0EDE">
        <w:rPr>
          <w:rStyle w:val="eop"/>
          <w:color w:val="000000"/>
        </w:rPr>
        <w:t> </w:t>
      </w:r>
    </w:p>
    <w:p w14:paraId="0E71D4D8" w14:textId="69DF2985" w:rsidR="00CE2BF3" w:rsidRPr="003B0EDE" w:rsidRDefault="00CE2BF3" w:rsidP="00183989">
      <w:pPr>
        <w:pStyle w:val="paragraph"/>
        <w:spacing w:before="0" w:beforeAutospacing="0" w:after="240" w:afterAutospacing="0"/>
        <w:jc w:val="both"/>
        <w:textAlignment w:val="baseline"/>
      </w:pPr>
      <w:r w:rsidRPr="00183989">
        <w:rPr>
          <w:rStyle w:val="normaltextrun"/>
          <w:b/>
          <w:bCs/>
        </w:rPr>
        <w:t>Transition Charge</w:t>
      </w:r>
      <w:r w:rsidR="00EE2AB2" w:rsidRPr="00183989">
        <w:rPr>
          <w:rStyle w:val="normaltextrun"/>
          <w:b/>
          <w:bCs/>
        </w:rPr>
        <w:t xml:space="preserve"> (“TC”)</w:t>
      </w:r>
      <w:r w:rsidRPr="00183989">
        <w:rPr>
          <w:rStyle w:val="normaltextrun"/>
          <w:b/>
          <w:bCs/>
        </w:rPr>
        <w:t>.</w:t>
      </w:r>
      <w:r w:rsidRPr="003B0EDE">
        <w:rPr>
          <w:rStyle w:val="normaltextrun"/>
        </w:rPr>
        <w:t xml:space="preserve">  Charges established pursuant to a financing order issued by the </w:t>
      </w:r>
      <w:r w:rsidR="00EE2AB2">
        <w:rPr>
          <w:rStyle w:val="normaltextrun"/>
        </w:rPr>
        <w:t>Commission</w:t>
      </w:r>
      <w:r w:rsidRPr="003B0EDE">
        <w:rPr>
          <w:rStyle w:val="normaltextrun"/>
        </w:rPr>
        <w:t>.</w:t>
      </w:r>
      <w:r w:rsidRPr="003B0EDE">
        <w:rPr>
          <w:rStyle w:val="eop"/>
        </w:rPr>
        <w:t> </w:t>
      </w:r>
    </w:p>
    <w:p w14:paraId="36058D17" w14:textId="2D79FD9A" w:rsidR="00CE2BF3" w:rsidRPr="003B0EDE" w:rsidRDefault="00CE2BF3" w:rsidP="00183989">
      <w:pPr>
        <w:pStyle w:val="paragraph"/>
        <w:spacing w:before="0" w:beforeAutospacing="0" w:after="240" w:afterAutospacing="0"/>
        <w:jc w:val="both"/>
        <w:textAlignment w:val="baseline"/>
      </w:pPr>
      <w:r w:rsidRPr="00183989">
        <w:rPr>
          <w:rStyle w:val="normaltextrun"/>
          <w:b/>
          <w:bCs/>
        </w:rPr>
        <w:t>Transmission and</w:t>
      </w:r>
      <w:r w:rsidR="004825E1" w:rsidRPr="00183989">
        <w:rPr>
          <w:rStyle w:val="normaltextrun"/>
          <w:b/>
          <w:bCs/>
        </w:rPr>
        <w:t xml:space="preserve">/or </w:t>
      </w:r>
      <w:r w:rsidRPr="00183989">
        <w:rPr>
          <w:rStyle w:val="normaltextrun"/>
          <w:b/>
          <w:bCs/>
        </w:rPr>
        <w:t>Distribution Service Provider</w:t>
      </w:r>
      <w:r w:rsidR="00EE2AB2" w:rsidRPr="00183989">
        <w:rPr>
          <w:rStyle w:val="normaltextrun"/>
          <w:b/>
          <w:bCs/>
        </w:rPr>
        <w:t xml:space="preserve"> (“TDSP”)</w:t>
      </w:r>
      <w:r w:rsidRPr="00183989">
        <w:rPr>
          <w:rStyle w:val="normaltextrun"/>
          <w:b/>
          <w:bCs/>
        </w:rPr>
        <w:t>.</w:t>
      </w:r>
      <w:r w:rsidRPr="003B0EDE">
        <w:rPr>
          <w:rStyle w:val="normaltextrun"/>
        </w:rPr>
        <w:t xml:space="preserve"> An Entity that is a TSP, a DSP or both, or an Entity that has been selected to own and operate Transmission Facilities and has a PUCT approved code of conduct in accordance with 16 TAC § 25.272, </w:t>
      </w:r>
      <w:r w:rsidRPr="003B0EDE">
        <w:rPr>
          <w:rStyle w:val="normaltextrun"/>
          <w:i/>
          <w:iCs/>
        </w:rPr>
        <w:t>Code of Conduct for Electric Utilities and Their Affiliates</w:t>
      </w:r>
      <w:r w:rsidRPr="003B0EDE">
        <w:rPr>
          <w:rStyle w:val="normaltextrun"/>
        </w:rPr>
        <w:t>. </w:t>
      </w:r>
      <w:r w:rsidRPr="003B0EDE">
        <w:rPr>
          <w:rStyle w:val="eop"/>
        </w:rPr>
        <w:t> </w:t>
      </w:r>
    </w:p>
    <w:p w14:paraId="0FE5360C" w14:textId="671B96C3" w:rsidR="00CE2BF3" w:rsidRPr="003B0EDE" w:rsidRDefault="00CE2BF3" w:rsidP="00183989">
      <w:pPr>
        <w:pStyle w:val="paragraph"/>
        <w:spacing w:before="0" w:beforeAutospacing="0" w:after="240" w:afterAutospacing="0"/>
        <w:jc w:val="both"/>
        <w:textAlignment w:val="baseline"/>
      </w:pPr>
      <w:r w:rsidRPr="00183989">
        <w:rPr>
          <w:rStyle w:val="normaltextrun"/>
          <w:b/>
          <w:bCs/>
        </w:rPr>
        <w:t>Transmission and Distribution Utility</w:t>
      </w:r>
      <w:r w:rsidR="00404758" w:rsidRPr="00183989">
        <w:rPr>
          <w:rStyle w:val="normaltextrun"/>
          <w:b/>
          <w:bCs/>
        </w:rPr>
        <w:t xml:space="preserve"> (“TDU”)</w:t>
      </w:r>
      <w:r w:rsidRPr="00183989">
        <w:rPr>
          <w:rStyle w:val="normaltextrun"/>
          <w:b/>
          <w:bCs/>
        </w:rPr>
        <w:t>.</w:t>
      </w:r>
      <w:r w:rsidRPr="003B0EDE">
        <w:rPr>
          <w:rStyle w:val="normaltextrun"/>
        </w:rPr>
        <w:t> </w:t>
      </w:r>
      <w:r w:rsidRPr="003B0EDE">
        <w:rPr>
          <w:rStyle w:val="eop"/>
        </w:rPr>
        <w:t> </w:t>
      </w:r>
      <w:r w:rsidR="00404758">
        <w:t xml:space="preserve">A person or river authority that owns, or operates for compensation in this state equipment or facilities </w:t>
      </w:r>
      <w:r w:rsidR="00404758" w:rsidRPr="00404758">
        <w:rPr>
          <w:rStyle w:val="eop"/>
        </w:rPr>
        <w:t xml:space="preserve">to transmit or distribute electricity, except for facilities necessary to interconnect a generation facility with the transmission or distribution network, a facility not dedicated to public use, or a facility </w:t>
      </w:r>
      <w:r w:rsidR="00404758" w:rsidRPr="00404758">
        <w:rPr>
          <w:rStyle w:val="eop"/>
        </w:rPr>
        <w:lastRenderedPageBreak/>
        <w:t>otherwise excluded from the definition of “electric utility”, in a qualifying power region certified under PURA §39.152, but does not include a municipally owned utility or an electric cooperative. The TDU may be a single utility or may be separate transmission and distribution utilities</w:t>
      </w:r>
      <w:r w:rsidR="00404758">
        <w:rPr>
          <w:rStyle w:val="eop"/>
        </w:rPr>
        <w:t>.</w:t>
      </w:r>
    </w:p>
    <w:p w14:paraId="179B8453" w14:textId="487E735D" w:rsidR="00CE2BF3" w:rsidRPr="003B0EDE" w:rsidRDefault="00CE2BF3" w:rsidP="00183989">
      <w:pPr>
        <w:pStyle w:val="paragraph"/>
        <w:spacing w:before="0" w:beforeAutospacing="0" w:after="240" w:afterAutospacing="0"/>
        <w:jc w:val="both"/>
        <w:textAlignment w:val="baseline"/>
      </w:pPr>
      <w:r w:rsidRPr="00183989">
        <w:rPr>
          <w:rStyle w:val="normaltextrun"/>
          <w:b/>
          <w:bCs/>
        </w:rPr>
        <w:t>Test Year</w:t>
      </w:r>
      <w:r w:rsidR="00404758" w:rsidRPr="00183989">
        <w:rPr>
          <w:rStyle w:val="normaltextrun"/>
          <w:b/>
          <w:bCs/>
        </w:rPr>
        <w:t>.</w:t>
      </w:r>
      <w:r w:rsidR="00404758">
        <w:rPr>
          <w:rStyle w:val="normaltextrun"/>
        </w:rPr>
        <w:t xml:space="preserve"> </w:t>
      </w:r>
      <w:r w:rsidRPr="003B0EDE">
        <w:rPr>
          <w:rStyle w:val="normaltextrun"/>
        </w:rPr>
        <w:t>The most recent 12 months for which operating data for an electric utility, electric cooperative, or municipally-owned utility are available and shall commence with a calendar quarter or a fiscal year quarter.  The Test Year for the period ending December 31, 20</w:t>
      </w:r>
      <w:r w:rsidR="00A048E1">
        <w:rPr>
          <w:rStyle w:val="normaltextrun"/>
        </w:rPr>
        <w:t>23</w:t>
      </w:r>
      <w:r w:rsidRPr="003B0EDE">
        <w:rPr>
          <w:rStyle w:val="normaltextrun"/>
        </w:rPr>
        <w:t>, is the period upon which the Company’s costs are based in this Cost of Service Rate Filing case.</w:t>
      </w:r>
      <w:r w:rsidRPr="003B0EDE">
        <w:rPr>
          <w:rStyle w:val="eop"/>
        </w:rPr>
        <w:t> </w:t>
      </w:r>
    </w:p>
    <w:p w14:paraId="07FB1FA4" w14:textId="0226127D" w:rsidR="00CE2BF3" w:rsidRPr="003B0EDE" w:rsidRDefault="00CE2BF3" w:rsidP="00183989">
      <w:pPr>
        <w:pStyle w:val="paragraph"/>
        <w:spacing w:before="0" w:beforeAutospacing="0" w:after="240" w:afterAutospacing="0"/>
        <w:jc w:val="both"/>
        <w:textAlignment w:val="baseline"/>
      </w:pPr>
      <w:r w:rsidRPr="00183989">
        <w:rPr>
          <w:rStyle w:val="normaltextrun"/>
          <w:b/>
          <w:bCs/>
        </w:rPr>
        <w:t>Transaction Management Hub</w:t>
      </w:r>
      <w:r w:rsidR="00404758" w:rsidRPr="00183989">
        <w:rPr>
          <w:rStyle w:val="normaltextrun"/>
          <w:b/>
          <w:bCs/>
        </w:rPr>
        <w:t xml:space="preserve"> (“TMH”)</w:t>
      </w:r>
      <w:r w:rsidRPr="00183989">
        <w:rPr>
          <w:rStyle w:val="normaltextrun"/>
          <w:b/>
          <w:bCs/>
        </w:rPr>
        <w:t>. </w:t>
      </w:r>
      <w:r w:rsidR="00497775">
        <w:rPr>
          <w:rStyle w:val="normaltextrun"/>
        </w:rPr>
        <w:t>An electronic transaction processing system used by Company for processing</w:t>
      </w:r>
      <w:r w:rsidRPr="003B0EDE">
        <w:rPr>
          <w:rStyle w:val="normaltextrun"/>
        </w:rPr>
        <w:t xml:space="preserve"> retail electric market transactions.  </w:t>
      </w:r>
      <w:r w:rsidRPr="003B0EDE">
        <w:rPr>
          <w:rStyle w:val="eop"/>
        </w:rPr>
        <w:t> </w:t>
      </w:r>
    </w:p>
    <w:p w14:paraId="511D7AEE" w14:textId="7986ED99" w:rsidR="00642AE5" w:rsidRPr="00642AE5" w:rsidRDefault="00CE2BF3" w:rsidP="00183989">
      <w:pPr>
        <w:pStyle w:val="paragraph"/>
        <w:spacing w:before="0" w:beforeAutospacing="0" w:after="240" w:afterAutospacing="0"/>
        <w:jc w:val="both"/>
        <w:textAlignment w:val="baseline"/>
        <w:rPr>
          <w:rStyle w:val="normaltextrun"/>
        </w:rPr>
      </w:pPr>
      <w:r w:rsidRPr="00183989">
        <w:rPr>
          <w:rStyle w:val="normaltextrun"/>
          <w:b/>
          <w:bCs/>
        </w:rPr>
        <w:t>Texas Standard Electronic Transaction</w:t>
      </w:r>
      <w:r w:rsidR="00497775" w:rsidRPr="00183989">
        <w:rPr>
          <w:rStyle w:val="normaltextrun"/>
          <w:b/>
          <w:bCs/>
        </w:rPr>
        <w:t xml:space="preserve"> (“TX SET”)</w:t>
      </w:r>
      <w:r w:rsidRPr="00183989">
        <w:rPr>
          <w:rStyle w:val="normaltextrun"/>
          <w:b/>
          <w:bCs/>
        </w:rPr>
        <w:t>.</w:t>
      </w:r>
      <w:r w:rsidRPr="003B0EDE">
        <w:rPr>
          <w:rStyle w:val="normaltextrun"/>
        </w:rPr>
        <w:t xml:space="preserve">  </w:t>
      </w:r>
      <w:r w:rsidR="00642AE5">
        <w:rPr>
          <w:rStyle w:val="normaltextrun"/>
        </w:rPr>
        <w:t>The</w:t>
      </w:r>
      <w:r w:rsidR="00642AE5" w:rsidRPr="00642AE5">
        <w:rPr>
          <w:rStyle w:val="normaltextrun"/>
        </w:rPr>
        <w:t xml:space="preserve"> electronic data transactions, implementation guides, and applicable external standards that enable and facilitate the retail business processes in the deregulated Texas electric market. </w:t>
      </w:r>
    </w:p>
    <w:p w14:paraId="5005F1A4" w14:textId="77777777" w:rsidR="00FD0CCF" w:rsidRPr="00922212" w:rsidRDefault="00FD0CCF" w:rsidP="00922212">
      <w:pPr>
        <w:spacing w:line="480" w:lineRule="auto"/>
        <w:rPr>
          <w:b/>
          <w:sz w:val="24"/>
          <w:szCs w:val="24"/>
        </w:rPr>
      </w:pPr>
    </w:p>
    <w:p w14:paraId="769B63CC" w14:textId="77777777" w:rsidR="00FD0CCF" w:rsidRPr="00922212" w:rsidRDefault="00FD0CCF" w:rsidP="00922212">
      <w:pPr>
        <w:spacing w:line="480" w:lineRule="auto"/>
        <w:rPr>
          <w:b/>
          <w:sz w:val="24"/>
          <w:szCs w:val="24"/>
        </w:rPr>
      </w:pPr>
    </w:p>
    <w:p w14:paraId="42507AB3" w14:textId="77777777" w:rsidR="00FD0CCF" w:rsidRPr="00922212" w:rsidRDefault="00FD0CCF" w:rsidP="00922212">
      <w:pPr>
        <w:spacing w:line="480" w:lineRule="auto"/>
        <w:rPr>
          <w:b/>
          <w:sz w:val="24"/>
          <w:szCs w:val="24"/>
        </w:rPr>
        <w:sectPr w:rsidR="00FD0CCF" w:rsidRPr="00922212" w:rsidSect="002206BB">
          <w:headerReference w:type="default" r:id="rId11"/>
          <w:footerReference w:type="default" r:id="rId12"/>
          <w:type w:val="continuous"/>
          <w:pgSz w:w="12240" w:h="15840" w:code="1"/>
          <w:pgMar w:top="1440" w:right="1440" w:bottom="1440" w:left="2160" w:header="720" w:footer="720" w:gutter="0"/>
          <w:pgNumType w:start="1"/>
          <w:cols w:space="720"/>
          <w:docGrid w:linePitch="360"/>
        </w:sectPr>
      </w:pPr>
    </w:p>
    <w:p w14:paraId="76D5529F" w14:textId="5B0D73BA" w:rsidR="008C7BD6" w:rsidRPr="00922212" w:rsidRDefault="002206BB" w:rsidP="002206BB">
      <w:pPr>
        <w:pStyle w:val="CROutline1"/>
        <w:numPr>
          <w:ilvl w:val="0"/>
          <w:numId w:val="0"/>
        </w:numPr>
        <w:ind w:left="360"/>
        <w:outlineLvl w:val="9"/>
      </w:pPr>
      <w:bookmarkStart w:id="4" w:name="_Toc192393612"/>
      <w:r>
        <w:lastRenderedPageBreak/>
        <w:t>EXECUTIVE SUMMARY OF JOHN R. HUDSON III</w:t>
      </w:r>
      <w:bookmarkEnd w:id="4"/>
    </w:p>
    <w:p w14:paraId="453A5CB5" w14:textId="7AA07F24" w:rsidR="008C7BD6" w:rsidRPr="00922212" w:rsidRDefault="281D3FD0" w:rsidP="3E161B60">
      <w:pPr>
        <w:spacing w:line="480" w:lineRule="auto"/>
        <w:ind w:left="-20" w:right="-20" w:firstLine="720"/>
        <w:jc w:val="both"/>
        <w:rPr>
          <w:sz w:val="24"/>
          <w:szCs w:val="24"/>
        </w:rPr>
      </w:pPr>
      <w:r w:rsidRPr="3E161B60">
        <w:rPr>
          <w:sz w:val="24"/>
          <w:szCs w:val="24"/>
        </w:rPr>
        <w:t xml:space="preserve">My testimony </w:t>
      </w:r>
      <w:r w:rsidR="72AAA0DD" w:rsidRPr="3E161B60">
        <w:rPr>
          <w:sz w:val="24"/>
          <w:szCs w:val="24"/>
        </w:rPr>
        <w:t>supports</w:t>
      </w:r>
      <w:r w:rsidRPr="3E161B60">
        <w:rPr>
          <w:sz w:val="24"/>
          <w:szCs w:val="24"/>
        </w:rPr>
        <w:t xml:space="preserve"> the reasonableness and necessity of recovering Operations and Maintenance expenses</w:t>
      </w:r>
      <w:r w:rsidR="00064E3A">
        <w:rPr>
          <w:sz w:val="24"/>
          <w:szCs w:val="24"/>
        </w:rPr>
        <w:t xml:space="preserve"> of</w:t>
      </w:r>
      <w:r w:rsidRPr="3E161B60">
        <w:rPr>
          <w:sz w:val="24"/>
          <w:szCs w:val="24"/>
        </w:rPr>
        <w:t xml:space="preserve"> </w:t>
      </w:r>
      <w:r w:rsidR="00AD72C1">
        <w:rPr>
          <w:sz w:val="24"/>
          <w:szCs w:val="24"/>
        </w:rPr>
        <w:t>CenterPoint Houston’s</w:t>
      </w:r>
      <w:r w:rsidR="00AD72C1" w:rsidRPr="3E161B60">
        <w:rPr>
          <w:sz w:val="24"/>
          <w:szCs w:val="24"/>
        </w:rPr>
        <w:t xml:space="preserve"> </w:t>
      </w:r>
      <w:r w:rsidRPr="3E161B60">
        <w:rPr>
          <w:sz w:val="24"/>
          <w:szCs w:val="24"/>
        </w:rPr>
        <w:t>Electric Market Operations</w:t>
      </w:r>
      <w:r w:rsidR="004C266F">
        <w:rPr>
          <w:sz w:val="24"/>
          <w:szCs w:val="24"/>
        </w:rPr>
        <w:t xml:space="preserve"> </w:t>
      </w:r>
      <w:r w:rsidR="00064E3A">
        <w:rPr>
          <w:sz w:val="24"/>
          <w:szCs w:val="24"/>
        </w:rPr>
        <w:t>organization</w:t>
      </w:r>
      <w:r w:rsidR="00AD72C1">
        <w:rPr>
          <w:sz w:val="24"/>
          <w:szCs w:val="24"/>
        </w:rPr>
        <w:t xml:space="preserve"> </w:t>
      </w:r>
      <w:r w:rsidRPr="3E161B60">
        <w:rPr>
          <w:sz w:val="24"/>
          <w:szCs w:val="24"/>
        </w:rPr>
        <w:t>for the 12 months ending December 31, 2023 (the “Test Year”), as well as costs related to the Smart Meter Texas portal, and Competitive Re</w:t>
      </w:r>
      <w:r w:rsidR="00A325A9">
        <w:rPr>
          <w:sz w:val="24"/>
          <w:szCs w:val="24"/>
        </w:rPr>
        <w:t>tailer</w:t>
      </w:r>
      <w:r w:rsidR="004C266F">
        <w:rPr>
          <w:sz w:val="24"/>
          <w:szCs w:val="24"/>
        </w:rPr>
        <w:t>-</w:t>
      </w:r>
      <w:r w:rsidRPr="3E161B60">
        <w:rPr>
          <w:sz w:val="24"/>
          <w:szCs w:val="24"/>
        </w:rPr>
        <w:t xml:space="preserve">related bad debt expense. </w:t>
      </w:r>
    </w:p>
    <w:p w14:paraId="39347841" w14:textId="71E57A0B" w:rsidR="008C7BD6" w:rsidRPr="00922212" w:rsidRDefault="281D3FD0" w:rsidP="1E8A8C27">
      <w:pPr>
        <w:spacing w:line="480" w:lineRule="auto"/>
        <w:ind w:left="-20" w:right="-20" w:firstLine="720"/>
        <w:jc w:val="both"/>
        <w:rPr>
          <w:sz w:val="24"/>
          <w:szCs w:val="24"/>
        </w:rPr>
      </w:pPr>
      <w:r w:rsidRPr="6499E60D">
        <w:rPr>
          <w:sz w:val="24"/>
          <w:szCs w:val="24"/>
        </w:rPr>
        <w:t xml:space="preserve">First, I explain the </w:t>
      </w:r>
      <w:r w:rsidR="7E447FDA" w:rsidRPr="6499E60D">
        <w:rPr>
          <w:sz w:val="24"/>
          <w:szCs w:val="24"/>
        </w:rPr>
        <w:t xml:space="preserve">organization and function of </w:t>
      </w:r>
      <w:r w:rsidR="00064E3A" w:rsidRPr="6499E60D">
        <w:rPr>
          <w:sz w:val="24"/>
          <w:szCs w:val="24"/>
        </w:rPr>
        <w:t xml:space="preserve">the </w:t>
      </w:r>
      <w:r w:rsidR="004C266F" w:rsidRPr="6499E60D">
        <w:rPr>
          <w:sz w:val="24"/>
          <w:szCs w:val="24"/>
        </w:rPr>
        <w:t>Electric Market Operations organization</w:t>
      </w:r>
      <w:r w:rsidRPr="6499E60D">
        <w:rPr>
          <w:sz w:val="24"/>
          <w:szCs w:val="24"/>
        </w:rPr>
        <w:t xml:space="preserve">. This includes describing the efficient, effective, and cost-conscious processes </w:t>
      </w:r>
      <w:r w:rsidR="5B83884A" w:rsidRPr="6499E60D">
        <w:rPr>
          <w:sz w:val="24"/>
          <w:szCs w:val="24"/>
        </w:rPr>
        <w:t xml:space="preserve">that </w:t>
      </w:r>
      <w:r w:rsidR="00D06059" w:rsidRPr="6499E60D">
        <w:rPr>
          <w:sz w:val="24"/>
          <w:szCs w:val="24"/>
        </w:rPr>
        <w:t xml:space="preserve">the </w:t>
      </w:r>
      <w:r w:rsidR="004C266F" w:rsidRPr="6499E60D">
        <w:rPr>
          <w:sz w:val="24"/>
          <w:szCs w:val="24"/>
        </w:rPr>
        <w:t xml:space="preserve">Electric Market Operations organization </w:t>
      </w:r>
      <w:r w:rsidRPr="6499E60D">
        <w:rPr>
          <w:sz w:val="24"/>
          <w:szCs w:val="24"/>
        </w:rPr>
        <w:t xml:space="preserve">employs to accomplish its objectives, such as maintaining multiple digital channels for information and functionality purposes. </w:t>
      </w:r>
      <w:r w:rsidR="07AF9AAC" w:rsidRPr="6499E60D">
        <w:rPr>
          <w:sz w:val="24"/>
          <w:szCs w:val="24"/>
        </w:rPr>
        <w:t>Next</w:t>
      </w:r>
      <w:r w:rsidRPr="6499E60D">
        <w:rPr>
          <w:sz w:val="24"/>
          <w:szCs w:val="24"/>
        </w:rPr>
        <w:t xml:space="preserve">, my testimony describes cost controls implemented by </w:t>
      </w:r>
      <w:r w:rsidR="00D06059" w:rsidRPr="6499E60D">
        <w:rPr>
          <w:sz w:val="24"/>
          <w:szCs w:val="24"/>
        </w:rPr>
        <w:t xml:space="preserve">the </w:t>
      </w:r>
      <w:r w:rsidR="004C266F" w:rsidRPr="6499E60D">
        <w:rPr>
          <w:sz w:val="24"/>
          <w:szCs w:val="24"/>
        </w:rPr>
        <w:t>Electric Market Operations organization</w:t>
      </w:r>
      <w:r w:rsidRPr="6499E60D">
        <w:rPr>
          <w:sz w:val="24"/>
          <w:szCs w:val="24"/>
        </w:rPr>
        <w:t xml:space="preserve">, as well as the unique role and costs related to the </w:t>
      </w:r>
      <w:r w:rsidR="004C266F" w:rsidRPr="6499E60D">
        <w:rPr>
          <w:sz w:val="24"/>
          <w:szCs w:val="24"/>
        </w:rPr>
        <w:t xml:space="preserve">Smart Meter Texas </w:t>
      </w:r>
      <w:r w:rsidRPr="6499E60D">
        <w:rPr>
          <w:sz w:val="24"/>
          <w:szCs w:val="24"/>
        </w:rPr>
        <w:t xml:space="preserve">portal. </w:t>
      </w:r>
    </w:p>
    <w:p w14:paraId="4AB52AA6" w14:textId="55F84E8A" w:rsidR="008C7BD6" w:rsidRPr="00922212" w:rsidRDefault="281D3FD0" w:rsidP="3E161B60">
      <w:pPr>
        <w:spacing w:line="480" w:lineRule="auto"/>
        <w:ind w:left="-20" w:right="-20" w:firstLine="720"/>
        <w:jc w:val="both"/>
        <w:rPr>
          <w:sz w:val="24"/>
          <w:szCs w:val="24"/>
        </w:rPr>
      </w:pPr>
      <w:r w:rsidRPr="3E161B60">
        <w:rPr>
          <w:sz w:val="24"/>
          <w:szCs w:val="24"/>
        </w:rPr>
        <w:t xml:space="preserve">Last, I </w:t>
      </w:r>
      <w:r w:rsidR="680CB986" w:rsidRPr="3E161B60">
        <w:rPr>
          <w:sz w:val="24"/>
          <w:szCs w:val="24"/>
        </w:rPr>
        <w:t>testify</w:t>
      </w:r>
      <w:r w:rsidRPr="3E161B60">
        <w:rPr>
          <w:sz w:val="24"/>
          <w:szCs w:val="24"/>
        </w:rPr>
        <w:t xml:space="preserve"> </w:t>
      </w:r>
      <w:r w:rsidR="7172DA2A" w:rsidRPr="3E161B60">
        <w:rPr>
          <w:sz w:val="24"/>
          <w:szCs w:val="24"/>
        </w:rPr>
        <w:t xml:space="preserve">to </w:t>
      </w:r>
      <w:r w:rsidRPr="3E161B60">
        <w:rPr>
          <w:sz w:val="24"/>
          <w:szCs w:val="24"/>
        </w:rPr>
        <w:t xml:space="preserve">the heightened Company risks from billing to and collecting receivables from </w:t>
      </w:r>
      <w:r w:rsidR="008855E9">
        <w:rPr>
          <w:sz w:val="24"/>
          <w:szCs w:val="24"/>
        </w:rPr>
        <w:t>Competitive</w:t>
      </w:r>
      <w:r w:rsidR="004C266F">
        <w:rPr>
          <w:sz w:val="24"/>
          <w:szCs w:val="24"/>
        </w:rPr>
        <w:t xml:space="preserve"> Retailers</w:t>
      </w:r>
      <w:r w:rsidRPr="3E161B60">
        <w:rPr>
          <w:sz w:val="24"/>
          <w:szCs w:val="24"/>
        </w:rPr>
        <w:t xml:space="preserve">, instead of </w:t>
      </w:r>
      <w:r w:rsidR="0027464B">
        <w:rPr>
          <w:sz w:val="24"/>
          <w:szCs w:val="24"/>
        </w:rPr>
        <w:t>Retail Customers</w:t>
      </w:r>
      <w:r w:rsidRPr="3E161B60">
        <w:rPr>
          <w:sz w:val="24"/>
          <w:szCs w:val="24"/>
        </w:rPr>
        <w:t xml:space="preserve">. Due to the relationship between credit risk and the Company’s role in the retail electric market, my testimony supports recovery of </w:t>
      </w:r>
      <w:r w:rsidR="004C266F">
        <w:rPr>
          <w:sz w:val="24"/>
          <w:szCs w:val="24"/>
        </w:rPr>
        <w:t>Competitive Retailer</w:t>
      </w:r>
      <w:r w:rsidRPr="3E161B60">
        <w:rPr>
          <w:sz w:val="24"/>
          <w:szCs w:val="24"/>
        </w:rPr>
        <w:t>-related bad debt expense</w:t>
      </w:r>
      <w:r w:rsidR="00C529BA">
        <w:rPr>
          <w:sz w:val="24"/>
          <w:szCs w:val="24"/>
        </w:rPr>
        <w:t>s</w:t>
      </w:r>
      <w:r w:rsidRPr="3E161B60">
        <w:rPr>
          <w:sz w:val="24"/>
          <w:szCs w:val="24"/>
        </w:rPr>
        <w:t>.</w:t>
      </w:r>
    </w:p>
    <w:p w14:paraId="6B031303" w14:textId="77777777" w:rsidR="008C7BD6" w:rsidRPr="00922212" w:rsidRDefault="008C7BD6" w:rsidP="00922212">
      <w:pPr>
        <w:spacing w:line="480" w:lineRule="auto"/>
        <w:jc w:val="center"/>
        <w:rPr>
          <w:b/>
          <w:sz w:val="24"/>
          <w:szCs w:val="24"/>
        </w:rPr>
        <w:sectPr w:rsidR="008C7BD6" w:rsidRPr="00922212" w:rsidSect="002206BB">
          <w:headerReference w:type="default" r:id="rId13"/>
          <w:footerReference w:type="default" r:id="rId14"/>
          <w:pgSz w:w="12240" w:h="15840" w:code="1"/>
          <w:pgMar w:top="1440" w:right="1440" w:bottom="1440" w:left="2160" w:header="720" w:footer="720" w:gutter="0"/>
          <w:lnNumType w:countBy="1"/>
          <w:pgNumType w:start="1"/>
          <w:cols w:space="720"/>
          <w:docGrid w:linePitch="360"/>
        </w:sectPr>
      </w:pPr>
    </w:p>
    <w:p w14:paraId="6FFD48D5" w14:textId="295D6B9E" w:rsidR="008C7BD6" w:rsidRPr="00183989" w:rsidRDefault="00896D77" w:rsidP="00183989">
      <w:pPr>
        <w:pStyle w:val="CROutline1"/>
        <w:tabs>
          <w:tab w:val="clear" w:pos="540"/>
        </w:tabs>
        <w:ind w:left="720" w:hanging="720"/>
        <w:rPr>
          <w:caps/>
        </w:rPr>
      </w:pPr>
      <w:bookmarkStart w:id="5" w:name="_Toc159491383"/>
      <w:r w:rsidRPr="00183989">
        <w:rPr>
          <w:caps/>
        </w:rPr>
        <w:lastRenderedPageBreak/>
        <w:t>Introduction</w:t>
      </w:r>
      <w:bookmarkEnd w:id="5"/>
    </w:p>
    <w:p w14:paraId="62DFFF33" w14:textId="77777777" w:rsidR="00811AF8" w:rsidRPr="00760463" w:rsidRDefault="008C7BD6" w:rsidP="3E161B60">
      <w:pPr>
        <w:spacing w:line="480" w:lineRule="auto"/>
        <w:ind w:left="720" w:hanging="720"/>
        <w:jc w:val="both"/>
        <w:rPr>
          <w:rStyle w:val="LineNumber"/>
          <w:b/>
          <w:bCs/>
          <w:u w:val="single"/>
        </w:rPr>
      </w:pPr>
      <w:r w:rsidRPr="3E161B60">
        <w:rPr>
          <w:b/>
          <w:bCs/>
          <w:sz w:val="24"/>
          <w:szCs w:val="24"/>
        </w:rPr>
        <w:t>Q.</w:t>
      </w:r>
      <w:r w:rsidR="00811AF8">
        <w:tab/>
      </w:r>
      <w:r w:rsidR="00811AF8" w:rsidRPr="3E161B60">
        <w:rPr>
          <w:b/>
          <w:bCs/>
          <w:sz w:val="24"/>
          <w:szCs w:val="24"/>
        </w:rPr>
        <w:t>PLEASE STATE YOUR NAME, EMPLOYER, POSITION, AND BUSINESS ADDRESS.</w:t>
      </w:r>
    </w:p>
    <w:p w14:paraId="464E300D" w14:textId="15BF9BB2" w:rsidR="000B3245" w:rsidRPr="00922212" w:rsidRDefault="008C7BD6" w:rsidP="007922A9">
      <w:pPr>
        <w:spacing w:line="480" w:lineRule="auto"/>
        <w:ind w:left="720" w:hanging="720"/>
        <w:jc w:val="both"/>
        <w:rPr>
          <w:bCs/>
          <w:sz w:val="24"/>
          <w:szCs w:val="24"/>
        </w:rPr>
      </w:pPr>
      <w:r w:rsidRPr="007922A9">
        <w:rPr>
          <w:sz w:val="24"/>
          <w:szCs w:val="24"/>
        </w:rPr>
        <w:t>A.</w:t>
      </w:r>
      <w:r w:rsidRPr="00922212">
        <w:rPr>
          <w:sz w:val="24"/>
          <w:szCs w:val="24"/>
        </w:rPr>
        <w:tab/>
      </w:r>
      <w:r w:rsidR="00656086" w:rsidRPr="007922A9">
        <w:rPr>
          <w:sz w:val="24"/>
          <w:szCs w:val="24"/>
        </w:rPr>
        <w:t>My name is John R. Hudson</w:t>
      </w:r>
      <w:r w:rsidR="00DC1BFE" w:rsidRPr="007922A9">
        <w:rPr>
          <w:sz w:val="24"/>
          <w:szCs w:val="24"/>
        </w:rPr>
        <w:t xml:space="preserve"> III</w:t>
      </w:r>
      <w:r w:rsidR="00656086" w:rsidRPr="007922A9">
        <w:rPr>
          <w:sz w:val="24"/>
          <w:szCs w:val="24"/>
        </w:rPr>
        <w:t xml:space="preserve">.  I am </w:t>
      </w:r>
      <w:r w:rsidR="007922A9">
        <w:rPr>
          <w:sz w:val="24"/>
          <w:szCs w:val="24"/>
        </w:rPr>
        <w:t xml:space="preserve">the </w:t>
      </w:r>
      <w:r w:rsidR="00656086" w:rsidRPr="007922A9">
        <w:rPr>
          <w:sz w:val="24"/>
          <w:szCs w:val="24"/>
        </w:rPr>
        <w:t>Director of Electric Market Operations</w:t>
      </w:r>
      <w:r w:rsidR="00656086">
        <w:rPr>
          <w:sz w:val="24"/>
          <w:szCs w:val="24"/>
        </w:rPr>
        <w:t xml:space="preserve"> </w:t>
      </w:r>
      <w:r w:rsidR="00B0408D">
        <w:rPr>
          <w:sz w:val="24"/>
          <w:szCs w:val="24"/>
        </w:rPr>
        <w:t xml:space="preserve">(“EMO”) </w:t>
      </w:r>
      <w:r w:rsidR="00656086" w:rsidRPr="007922A9">
        <w:rPr>
          <w:sz w:val="24"/>
          <w:szCs w:val="24"/>
        </w:rPr>
        <w:t xml:space="preserve">for CenterPoint Energy Houston Electric, LLC (“CenterPoint Houston” or the </w:t>
      </w:r>
      <w:r w:rsidR="00656086" w:rsidRPr="00B66E85">
        <w:rPr>
          <w:sz w:val="24"/>
          <w:szCs w:val="24"/>
        </w:rPr>
        <w:t>“Company”).  My business address is 1111 Louisiana St, Houston, TX  77002.</w:t>
      </w:r>
    </w:p>
    <w:p w14:paraId="60DA383F" w14:textId="77ED73E3" w:rsidR="00811AF8" w:rsidRPr="00922212" w:rsidRDefault="00811AF8" w:rsidP="3E161B60">
      <w:pPr>
        <w:spacing w:line="480" w:lineRule="auto"/>
        <w:ind w:left="720" w:hanging="720"/>
        <w:jc w:val="both"/>
        <w:rPr>
          <w:b/>
          <w:bCs/>
          <w:sz w:val="24"/>
          <w:szCs w:val="24"/>
        </w:rPr>
      </w:pPr>
      <w:r w:rsidRPr="3E161B60">
        <w:rPr>
          <w:b/>
          <w:bCs/>
          <w:sz w:val="24"/>
          <w:szCs w:val="24"/>
        </w:rPr>
        <w:t xml:space="preserve">Q. </w:t>
      </w:r>
      <w:r>
        <w:tab/>
      </w:r>
      <w:r w:rsidRPr="3E161B60">
        <w:rPr>
          <w:b/>
          <w:bCs/>
          <w:sz w:val="24"/>
          <w:szCs w:val="24"/>
        </w:rPr>
        <w:t xml:space="preserve">WHAT ARE YOUR RESPONSIBILITIES AS </w:t>
      </w:r>
      <w:r w:rsidR="00607D99" w:rsidRPr="3E161B60">
        <w:rPr>
          <w:b/>
          <w:bCs/>
          <w:sz w:val="24"/>
          <w:szCs w:val="24"/>
        </w:rPr>
        <w:t>DIRECTOR OF ELECTRIC MARKET OPERATIONS</w:t>
      </w:r>
      <w:r w:rsidRPr="3E161B60">
        <w:rPr>
          <w:b/>
          <w:bCs/>
          <w:sz w:val="24"/>
          <w:szCs w:val="24"/>
        </w:rPr>
        <w:t>?</w:t>
      </w:r>
    </w:p>
    <w:p w14:paraId="2EACBA2E" w14:textId="3985C9CD" w:rsidR="00C2717E" w:rsidRPr="00922212" w:rsidRDefault="00811AF8" w:rsidP="28B9646C">
      <w:pPr>
        <w:pStyle w:val="BodyText"/>
        <w:widowControl/>
        <w:pBdr>
          <w:left w:val="none" w:sz="0" w:space="0" w:color="auto"/>
        </w:pBdr>
        <w:ind w:left="720" w:hanging="720"/>
        <w:jc w:val="both"/>
        <w:rPr>
          <w:b w:val="0"/>
        </w:rPr>
      </w:pPr>
      <w:r>
        <w:rPr>
          <w:b w:val="0"/>
        </w:rPr>
        <w:t>A.</w:t>
      </w:r>
      <w:r>
        <w:tab/>
      </w:r>
      <w:r w:rsidR="00656086">
        <w:rPr>
          <w:b w:val="0"/>
        </w:rPr>
        <w:t xml:space="preserve">As Director of </w:t>
      </w:r>
      <w:r w:rsidR="00B0408D">
        <w:rPr>
          <w:b w:val="0"/>
        </w:rPr>
        <w:t>EMO</w:t>
      </w:r>
      <w:r w:rsidR="00656086">
        <w:rPr>
          <w:b w:val="0"/>
        </w:rPr>
        <w:t>, I oversee the processing and delivery of retail market transactions and the processes, systems, and controls that ensure the timely and accurate execution of those transactions.  In addition, I supervise Competitive Retailer (“CR”) and Electric Reliability Council of Texas (“ERCOT”) relations, as well as project management for various retail market-related projects and programs.  All</w:t>
      </w:r>
      <w:r w:rsidDel="00656086">
        <w:rPr>
          <w:b w:val="0"/>
        </w:rPr>
        <w:t xml:space="preserve"> </w:t>
      </w:r>
      <w:r w:rsidR="00656086">
        <w:rPr>
          <w:b w:val="0"/>
        </w:rPr>
        <w:t xml:space="preserve">these functions work together to execute CenterPoint Houston’s retail market responsibilities in accordance with Commission rules, ERCOT </w:t>
      </w:r>
      <w:r w:rsidR="00D03EE5">
        <w:rPr>
          <w:b w:val="0"/>
        </w:rPr>
        <w:t>P</w:t>
      </w:r>
      <w:r w:rsidR="00656086">
        <w:rPr>
          <w:b w:val="0"/>
        </w:rPr>
        <w:t>rotocols, and the Company’s Tariff for Retail Delivery Service (“Tariff”).</w:t>
      </w:r>
    </w:p>
    <w:p w14:paraId="4E611AB1" w14:textId="77777777" w:rsidR="00811AF8" w:rsidRPr="00922212" w:rsidRDefault="00811AF8" w:rsidP="3E161B60">
      <w:pPr>
        <w:tabs>
          <w:tab w:val="left" w:pos="630"/>
          <w:tab w:val="left" w:pos="720"/>
        </w:tabs>
        <w:spacing w:line="480" w:lineRule="auto"/>
        <w:ind w:left="630" w:hanging="630"/>
        <w:jc w:val="both"/>
        <w:rPr>
          <w:b/>
          <w:bCs/>
          <w:sz w:val="24"/>
          <w:szCs w:val="24"/>
        </w:rPr>
      </w:pPr>
      <w:r w:rsidRPr="3E161B60">
        <w:rPr>
          <w:b/>
          <w:bCs/>
          <w:sz w:val="24"/>
          <w:szCs w:val="24"/>
        </w:rPr>
        <w:t xml:space="preserve">Q. </w:t>
      </w:r>
      <w:r>
        <w:tab/>
      </w:r>
      <w:r w:rsidRPr="3E161B60">
        <w:rPr>
          <w:b/>
          <w:bCs/>
          <w:sz w:val="24"/>
          <w:szCs w:val="24"/>
        </w:rPr>
        <w:t>PLEASE DESCRIBE YOUR EDUCATIONAL BACKGROUND, PROFESSIONAL QUALIFICATIONS, AND PREVIOUS WORK EXPERIENCE.</w:t>
      </w:r>
    </w:p>
    <w:p w14:paraId="478F8A81" w14:textId="444643CE" w:rsidR="00811AF8" w:rsidRPr="00922212" w:rsidRDefault="00811AF8" w:rsidP="28B9646C">
      <w:pPr>
        <w:pStyle w:val="BodyText"/>
        <w:widowControl/>
        <w:pBdr>
          <w:left w:val="none" w:sz="0" w:space="0" w:color="auto"/>
        </w:pBdr>
        <w:ind w:left="720" w:hanging="720"/>
        <w:jc w:val="both"/>
      </w:pPr>
      <w:r>
        <w:rPr>
          <w:b w:val="0"/>
        </w:rPr>
        <w:t>A</w:t>
      </w:r>
      <w:r w:rsidR="00656086">
        <w:rPr>
          <w:b w:val="0"/>
        </w:rPr>
        <w:t>.</w:t>
      </w:r>
      <w:r>
        <w:tab/>
      </w:r>
      <w:r w:rsidR="00656086">
        <w:rPr>
          <w:b w:val="0"/>
        </w:rPr>
        <w:t>I hold a Bachelor of Accountancy degree from the University of Oklahoma, and a Master of Business Administration degree from the University of Tulsa.  I joined CenterPoint Houston’s predecessor company in 1999</w:t>
      </w:r>
      <w:r w:rsidR="00B01BD4">
        <w:rPr>
          <w:b w:val="0"/>
        </w:rPr>
        <w:t xml:space="preserve">. Prior to serving my current </w:t>
      </w:r>
      <w:r w:rsidR="00B01BD4">
        <w:rPr>
          <w:b w:val="0"/>
        </w:rPr>
        <w:lastRenderedPageBreak/>
        <w:t xml:space="preserve">role as </w:t>
      </w:r>
      <w:r w:rsidR="004C266F">
        <w:rPr>
          <w:b w:val="0"/>
        </w:rPr>
        <w:t>Director of</w:t>
      </w:r>
      <w:r w:rsidR="00B01BD4">
        <w:rPr>
          <w:b w:val="0"/>
        </w:rPr>
        <w:t xml:space="preserve"> EMO, </w:t>
      </w:r>
      <w:r w:rsidR="004C75BB">
        <w:rPr>
          <w:b w:val="0"/>
        </w:rPr>
        <w:t>I was employed by the Company</w:t>
      </w:r>
      <w:r w:rsidR="00656086">
        <w:rPr>
          <w:b w:val="0"/>
        </w:rPr>
        <w:t xml:space="preserve"> as a </w:t>
      </w:r>
      <w:r w:rsidR="004C266F">
        <w:rPr>
          <w:b w:val="0"/>
        </w:rPr>
        <w:t>manager of</w:t>
      </w:r>
      <w:r w:rsidR="1AC974CF">
        <w:rPr>
          <w:b w:val="0"/>
        </w:rPr>
        <w:t xml:space="preserve"> </w:t>
      </w:r>
      <w:r w:rsidR="00656086">
        <w:rPr>
          <w:b w:val="0"/>
        </w:rPr>
        <w:t>Regulatory Affairs</w:t>
      </w:r>
      <w:r w:rsidR="00B01BD4">
        <w:rPr>
          <w:b w:val="0"/>
        </w:rPr>
        <w:t>,</w:t>
      </w:r>
      <w:r w:rsidR="00656086">
        <w:rPr>
          <w:b w:val="0"/>
        </w:rPr>
        <w:t xml:space="preserve"> and </w:t>
      </w:r>
      <w:r w:rsidR="004C266F">
        <w:rPr>
          <w:b w:val="0"/>
        </w:rPr>
        <w:t>a m</w:t>
      </w:r>
      <w:r w:rsidR="1AC974CF">
        <w:rPr>
          <w:b w:val="0"/>
        </w:rPr>
        <w:t>anager</w:t>
      </w:r>
      <w:r w:rsidR="00656086">
        <w:rPr>
          <w:b w:val="0"/>
        </w:rPr>
        <w:t xml:space="preserve"> of Electric Market Relations</w:t>
      </w:r>
      <w:r w:rsidR="1AC974CF">
        <w:rPr>
          <w:b w:val="0"/>
        </w:rPr>
        <w:t>.</w:t>
      </w:r>
      <w:r w:rsidR="00656086">
        <w:rPr>
          <w:b w:val="0"/>
        </w:rPr>
        <w:t xml:space="preserve">  I assumed my current role </w:t>
      </w:r>
      <w:r w:rsidR="1AC974CF">
        <w:rPr>
          <w:b w:val="0"/>
        </w:rPr>
        <w:t>in 2018.</w:t>
      </w:r>
    </w:p>
    <w:p w14:paraId="68C1416A" w14:textId="21EFBF43" w:rsidR="00811AF8" w:rsidRPr="00922212" w:rsidRDefault="00811AF8" w:rsidP="00183989">
      <w:pPr>
        <w:tabs>
          <w:tab w:val="left" w:pos="810"/>
        </w:tabs>
        <w:spacing w:line="480" w:lineRule="auto"/>
        <w:ind w:left="720" w:hanging="720"/>
        <w:jc w:val="both"/>
        <w:rPr>
          <w:b/>
          <w:sz w:val="24"/>
          <w:szCs w:val="24"/>
        </w:rPr>
      </w:pPr>
      <w:r w:rsidRPr="00922212">
        <w:rPr>
          <w:b/>
          <w:sz w:val="24"/>
          <w:szCs w:val="24"/>
        </w:rPr>
        <w:t>Q.</w:t>
      </w:r>
      <w:r w:rsidRPr="00922212">
        <w:rPr>
          <w:b/>
          <w:sz w:val="24"/>
          <w:szCs w:val="24"/>
        </w:rPr>
        <w:tab/>
        <w:t>HAVE YOU PREVIOUSLY SPONSORED TESTIMONY BEFORE THE COMMISSION OR OTHER REGULATORY AUTHORITIES?</w:t>
      </w:r>
    </w:p>
    <w:p w14:paraId="28616C82" w14:textId="705B2EB1" w:rsidR="00811AF8" w:rsidRDefault="00811AF8" w:rsidP="00ED085D">
      <w:pPr>
        <w:pStyle w:val="BodyText"/>
        <w:widowControl/>
        <w:pBdr>
          <w:left w:val="none" w:sz="0" w:space="0" w:color="auto"/>
        </w:pBdr>
        <w:ind w:left="720" w:hanging="720"/>
        <w:rPr>
          <w:b w:val="0"/>
          <w:bCs/>
          <w:szCs w:val="24"/>
        </w:rPr>
      </w:pPr>
      <w:r w:rsidRPr="00B66E85">
        <w:rPr>
          <w:b w:val="0"/>
          <w:szCs w:val="24"/>
        </w:rPr>
        <w:t>A.</w:t>
      </w:r>
      <w:r w:rsidR="00ED085D">
        <w:rPr>
          <w:szCs w:val="24"/>
        </w:rPr>
        <w:tab/>
      </w:r>
      <w:r w:rsidR="00ED085D" w:rsidRPr="00ED085D">
        <w:rPr>
          <w:b w:val="0"/>
        </w:rPr>
        <w:t>Yes.  I sponsored testimony in CenterPoint Houston’s last rate case in Docket No. 49421 in 2019.</w:t>
      </w:r>
      <w:r w:rsidR="00ED085D">
        <w:rPr>
          <w:b w:val="0"/>
          <w:bCs/>
          <w:szCs w:val="24"/>
        </w:rPr>
        <w:t xml:space="preserve">  </w:t>
      </w:r>
    </w:p>
    <w:p w14:paraId="75F3FE5F" w14:textId="4BC0205D" w:rsidR="00922212" w:rsidRDefault="00811AF8" w:rsidP="00183989">
      <w:pPr>
        <w:spacing w:line="480" w:lineRule="auto"/>
        <w:jc w:val="both"/>
        <w:rPr>
          <w:b/>
          <w:sz w:val="24"/>
          <w:szCs w:val="24"/>
        </w:rPr>
      </w:pPr>
      <w:r w:rsidRPr="00922212">
        <w:rPr>
          <w:b/>
          <w:sz w:val="24"/>
          <w:szCs w:val="24"/>
        </w:rPr>
        <w:t>Q.</w:t>
      </w:r>
      <w:r w:rsidRPr="00922212">
        <w:rPr>
          <w:b/>
          <w:sz w:val="24"/>
          <w:szCs w:val="24"/>
        </w:rPr>
        <w:tab/>
        <w:t>ON WHOSE BEHALF ARE YOU TESTIFYING IN THIS PROCEEDING?</w:t>
      </w:r>
    </w:p>
    <w:p w14:paraId="48BE9DC2" w14:textId="377B127F" w:rsidR="00090B39" w:rsidRDefault="0041341E" w:rsidP="00090B39">
      <w:pPr>
        <w:spacing w:line="480" w:lineRule="auto"/>
        <w:rPr>
          <w:b/>
          <w:sz w:val="24"/>
          <w:szCs w:val="24"/>
          <w:u w:val="single"/>
        </w:rPr>
      </w:pPr>
      <w:r w:rsidRPr="00B66E85">
        <w:rPr>
          <w:sz w:val="24"/>
          <w:szCs w:val="24"/>
        </w:rPr>
        <w:t>A.</w:t>
      </w:r>
      <w:r>
        <w:rPr>
          <w:b/>
          <w:sz w:val="24"/>
          <w:szCs w:val="24"/>
        </w:rPr>
        <w:tab/>
      </w:r>
      <w:r w:rsidRPr="0041341E">
        <w:rPr>
          <w:sz w:val="24"/>
          <w:szCs w:val="24"/>
        </w:rPr>
        <w:t>I am testifying on behalf of CenterPoint Houston</w:t>
      </w:r>
    </w:p>
    <w:p w14:paraId="43BE0C59" w14:textId="506734DE" w:rsidR="00A473AE" w:rsidRPr="00922212" w:rsidRDefault="006811F3" w:rsidP="00183989">
      <w:pPr>
        <w:pStyle w:val="CROutline1"/>
        <w:tabs>
          <w:tab w:val="clear" w:pos="540"/>
        </w:tabs>
        <w:ind w:left="720" w:hanging="720"/>
      </w:pPr>
      <w:bookmarkStart w:id="6" w:name="_Toc159491384"/>
      <w:r w:rsidRPr="00183989">
        <w:rPr>
          <w:caps/>
        </w:rPr>
        <w:t>Purpose and Scope of Testimony</w:t>
      </w:r>
      <w:bookmarkEnd w:id="6"/>
    </w:p>
    <w:p w14:paraId="41410A77" w14:textId="77777777" w:rsidR="00236912" w:rsidRPr="00922212" w:rsidRDefault="00236912" w:rsidP="3E161B60">
      <w:pPr>
        <w:spacing w:line="480" w:lineRule="auto"/>
        <w:ind w:left="720" w:hanging="720"/>
        <w:jc w:val="both"/>
        <w:rPr>
          <w:b/>
          <w:bCs/>
          <w:sz w:val="24"/>
          <w:szCs w:val="24"/>
        </w:rPr>
      </w:pPr>
      <w:r w:rsidRPr="3E161B60">
        <w:rPr>
          <w:b/>
          <w:bCs/>
          <w:sz w:val="24"/>
          <w:szCs w:val="24"/>
        </w:rPr>
        <w:t xml:space="preserve">Q. </w:t>
      </w:r>
      <w:r>
        <w:tab/>
      </w:r>
      <w:r w:rsidRPr="3E161B60">
        <w:rPr>
          <w:b/>
          <w:bCs/>
          <w:sz w:val="24"/>
          <w:szCs w:val="24"/>
        </w:rPr>
        <w:t>WHAT IS THE PURPOSE OF YOUR DIRECT TESTIMONY IN THIS PROCEEDING?</w:t>
      </w:r>
    </w:p>
    <w:p w14:paraId="773B4B99" w14:textId="56E951FB" w:rsidR="00236912" w:rsidRDefault="00236912" w:rsidP="00B66E85">
      <w:pPr>
        <w:spacing w:line="480" w:lineRule="auto"/>
        <w:ind w:left="720" w:hanging="720"/>
        <w:jc w:val="both"/>
        <w:rPr>
          <w:sz w:val="24"/>
          <w:szCs w:val="24"/>
        </w:rPr>
      </w:pPr>
      <w:r w:rsidRPr="5B2504EC">
        <w:rPr>
          <w:sz w:val="24"/>
          <w:szCs w:val="24"/>
        </w:rPr>
        <w:t>A.</w:t>
      </w:r>
      <w:r>
        <w:tab/>
      </w:r>
      <w:r w:rsidR="0041341E" w:rsidRPr="5B2504EC">
        <w:rPr>
          <w:sz w:val="24"/>
          <w:szCs w:val="24"/>
        </w:rPr>
        <w:t xml:space="preserve">The purpose of my testimony is to discuss the services provided by </w:t>
      </w:r>
      <w:r w:rsidR="00A473AE">
        <w:rPr>
          <w:sz w:val="24"/>
          <w:szCs w:val="24"/>
        </w:rPr>
        <w:t>EMO</w:t>
      </w:r>
      <w:r w:rsidR="0041341E" w:rsidRPr="5B2504EC">
        <w:rPr>
          <w:sz w:val="24"/>
          <w:szCs w:val="24"/>
        </w:rPr>
        <w:t xml:space="preserve"> and to support the reasonableness and necessity of O&amp;M expenses for </w:t>
      </w:r>
      <w:r w:rsidR="00A473AE">
        <w:rPr>
          <w:sz w:val="24"/>
          <w:szCs w:val="24"/>
        </w:rPr>
        <w:t>EMO</w:t>
      </w:r>
      <w:r w:rsidR="0041341E" w:rsidRPr="5B2504EC">
        <w:rPr>
          <w:sz w:val="24"/>
          <w:szCs w:val="24"/>
        </w:rPr>
        <w:t xml:space="preserve"> for the </w:t>
      </w:r>
      <w:r w:rsidR="00D92869" w:rsidRPr="5B2504EC">
        <w:rPr>
          <w:sz w:val="24"/>
          <w:szCs w:val="24"/>
        </w:rPr>
        <w:t xml:space="preserve">12 months </w:t>
      </w:r>
      <w:r w:rsidR="0C8BBE73" w:rsidRPr="3E161B60">
        <w:rPr>
          <w:sz w:val="24"/>
          <w:szCs w:val="24"/>
        </w:rPr>
        <w:t>end</w:t>
      </w:r>
      <w:r w:rsidR="17E4C7FC" w:rsidRPr="3E161B60">
        <w:rPr>
          <w:sz w:val="24"/>
          <w:szCs w:val="24"/>
        </w:rPr>
        <w:t>ing</w:t>
      </w:r>
      <w:r w:rsidR="0C8BBE73" w:rsidRPr="3E161B60">
        <w:rPr>
          <w:sz w:val="24"/>
          <w:szCs w:val="24"/>
        </w:rPr>
        <w:t xml:space="preserve"> </w:t>
      </w:r>
      <w:r w:rsidR="6A3436C3" w:rsidRPr="3E161B60">
        <w:rPr>
          <w:sz w:val="24"/>
          <w:szCs w:val="24"/>
        </w:rPr>
        <w:t>December</w:t>
      </w:r>
      <w:r w:rsidR="3517E3F2" w:rsidRPr="5B2504EC">
        <w:rPr>
          <w:sz w:val="24"/>
          <w:szCs w:val="24"/>
        </w:rPr>
        <w:t xml:space="preserve"> 31</w:t>
      </w:r>
      <w:r w:rsidR="00D92869" w:rsidRPr="5B2504EC">
        <w:rPr>
          <w:sz w:val="24"/>
          <w:szCs w:val="24"/>
        </w:rPr>
        <w:t xml:space="preserve">, 2023 </w:t>
      </w:r>
      <w:r w:rsidR="00B7746B" w:rsidRPr="5B2504EC">
        <w:rPr>
          <w:sz w:val="24"/>
          <w:szCs w:val="24"/>
        </w:rPr>
        <w:t>(the “</w:t>
      </w:r>
      <w:r w:rsidR="0041341E" w:rsidRPr="5B2504EC">
        <w:rPr>
          <w:sz w:val="24"/>
          <w:szCs w:val="24"/>
        </w:rPr>
        <w:t>Test Year</w:t>
      </w:r>
      <w:r w:rsidR="00B7746B" w:rsidRPr="5B2504EC">
        <w:rPr>
          <w:sz w:val="24"/>
          <w:szCs w:val="24"/>
        </w:rPr>
        <w:t>”)</w:t>
      </w:r>
      <w:r w:rsidR="0041341E" w:rsidRPr="5B2504EC">
        <w:rPr>
          <w:sz w:val="24"/>
          <w:szCs w:val="24"/>
        </w:rPr>
        <w:t xml:space="preserve">.  During the Test Year, </w:t>
      </w:r>
      <w:r w:rsidR="004C266F">
        <w:rPr>
          <w:sz w:val="24"/>
          <w:szCs w:val="24"/>
        </w:rPr>
        <w:t>EMO</w:t>
      </w:r>
      <w:r w:rsidR="0041341E" w:rsidRPr="5B2504EC">
        <w:rPr>
          <w:sz w:val="24"/>
          <w:szCs w:val="24"/>
        </w:rPr>
        <w:t xml:space="preserve"> incurred approximately $</w:t>
      </w:r>
      <w:r w:rsidR="512E49D4" w:rsidRPr="5B2504EC">
        <w:rPr>
          <w:sz w:val="24"/>
          <w:szCs w:val="24"/>
        </w:rPr>
        <w:t>11.3</w:t>
      </w:r>
      <w:r w:rsidR="0041341E" w:rsidRPr="5B2504EC">
        <w:rPr>
          <w:sz w:val="24"/>
          <w:szCs w:val="24"/>
        </w:rPr>
        <w:t xml:space="preserve"> million in direct O&amp;M expenses. I will support Test Year costs </w:t>
      </w:r>
      <w:r w:rsidR="00A473AE">
        <w:rPr>
          <w:sz w:val="24"/>
          <w:szCs w:val="24"/>
        </w:rPr>
        <w:t xml:space="preserve">of </w:t>
      </w:r>
      <w:r w:rsidR="004C266F">
        <w:rPr>
          <w:sz w:val="24"/>
          <w:szCs w:val="24"/>
        </w:rPr>
        <w:t>EMO</w:t>
      </w:r>
      <w:r w:rsidR="00A473AE">
        <w:rPr>
          <w:sz w:val="24"/>
          <w:szCs w:val="24"/>
        </w:rPr>
        <w:t xml:space="preserve"> </w:t>
      </w:r>
      <w:r w:rsidR="0041341E" w:rsidRPr="5B2504EC">
        <w:rPr>
          <w:sz w:val="24"/>
          <w:szCs w:val="24"/>
        </w:rPr>
        <w:t xml:space="preserve">by describing the processes </w:t>
      </w:r>
      <w:r w:rsidR="002925B1">
        <w:rPr>
          <w:sz w:val="24"/>
          <w:szCs w:val="24"/>
        </w:rPr>
        <w:t xml:space="preserve">that </w:t>
      </w:r>
      <w:r w:rsidR="004C266F">
        <w:rPr>
          <w:sz w:val="24"/>
          <w:szCs w:val="24"/>
        </w:rPr>
        <w:t>EMO</w:t>
      </w:r>
      <w:r w:rsidR="0041341E" w:rsidRPr="5B2504EC">
        <w:rPr>
          <w:sz w:val="24"/>
          <w:szCs w:val="24"/>
        </w:rPr>
        <w:t xml:space="preserve"> employs to accomplish its objectives in an efficient, effective, and cost-conscious manner.</w:t>
      </w:r>
    </w:p>
    <w:p w14:paraId="43676CC8" w14:textId="415E6CE4" w:rsidR="0041341E" w:rsidRPr="0041341E" w:rsidRDefault="0041341E" w:rsidP="00183989">
      <w:pPr>
        <w:spacing w:line="480" w:lineRule="auto"/>
        <w:ind w:left="720" w:firstLine="720"/>
        <w:jc w:val="both"/>
        <w:rPr>
          <w:sz w:val="24"/>
          <w:szCs w:val="24"/>
        </w:rPr>
      </w:pPr>
      <w:r w:rsidRPr="28B9646C">
        <w:rPr>
          <w:sz w:val="24"/>
          <w:szCs w:val="24"/>
        </w:rPr>
        <w:t>In addition to</w:t>
      </w:r>
      <w:r w:rsidRPr="2115262D">
        <w:rPr>
          <w:sz w:val="24"/>
          <w:szCs w:val="24"/>
        </w:rPr>
        <w:t xml:space="preserve"> </w:t>
      </w:r>
      <w:r w:rsidR="47C774FC" w:rsidRPr="2115262D">
        <w:rPr>
          <w:sz w:val="24"/>
          <w:szCs w:val="24"/>
        </w:rPr>
        <w:t>the</w:t>
      </w:r>
      <w:r w:rsidRPr="28B9646C">
        <w:rPr>
          <w:sz w:val="24"/>
          <w:szCs w:val="24"/>
        </w:rPr>
        <w:t xml:space="preserve"> </w:t>
      </w:r>
      <w:r w:rsidR="002925B1">
        <w:rPr>
          <w:sz w:val="24"/>
          <w:szCs w:val="24"/>
        </w:rPr>
        <w:t>EMO</w:t>
      </w:r>
      <w:r w:rsidRPr="28B9646C">
        <w:rPr>
          <w:sz w:val="24"/>
          <w:szCs w:val="24"/>
        </w:rPr>
        <w:t xml:space="preserve"> function, I will discuss the credit risk </w:t>
      </w:r>
      <w:r w:rsidR="00381574" w:rsidRPr="28B9646C">
        <w:rPr>
          <w:sz w:val="24"/>
          <w:szCs w:val="24"/>
        </w:rPr>
        <w:t>associated with</w:t>
      </w:r>
      <w:r w:rsidRPr="28B9646C">
        <w:rPr>
          <w:sz w:val="24"/>
          <w:szCs w:val="24"/>
        </w:rPr>
        <w:t xml:space="preserve"> CenterPoint Houston’s role in the retail electric market and will support the Company’s recovery of CR-related bad debt expense.  </w:t>
      </w:r>
      <w:r w:rsidR="00381574" w:rsidRPr="28B9646C">
        <w:rPr>
          <w:sz w:val="24"/>
          <w:szCs w:val="24"/>
        </w:rPr>
        <w:t xml:space="preserve">I will also support Company costs related to SMT.  </w:t>
      </w:r>
    </w:p>
    <w:p w14:paraId="229B4C11" w14:textId="77777777" w:rsidR="00236912" w:rsidRPr="00922212" w:rsidRDefault="00236912" w:rsidP="00183989">
      <w:pPr>
        <w:spacing w:line="480" w:lineRule="auto"/>
        <w:ind w:left="720" w:hanging="720"/>
        <w:jc w:val="both"/>
        <w:rPr>
          <w:b/>
          <w:bCs/>
          <w:sz w:val="24"/>
          <w:szCs w:val="24"/>
        </w:rPr>
      </w:pPr>
      <w:r w:rsidRPr="1E8A8C27">
        <w:rPr>
          <w:b/>
          <w:bCs/>
          <w:sz w:val="24"/>
          <w:szCs w:val="24"/>
        </w:rPr>
        <w:lastRenderedPageBreak/>
        <w:t xml:space="preserve">Q. </w:t>
      </w:r>
      <w:r>
        <w:tab/>
      </w:r>
      <w:r w:rsidRPr="1E8A8C27">
        <w:rPr>
          <w:b/>
          <w:bCs/>
          <w:sz w:val="24"/>
          <w:szCs w:val="24"/>
        </w:rPr>
        <w:t>WHAT AMOUNTS IN THE COMPANY’S PROPOSED COST OF SERVICE DOES YOUR TESTIMONY SUPPORT?</w:t>
      </w:r>
    </w:p>
    <w:p w14:paraId="78A03E32" w14:textId="7D0F6AF0" w:rsidR="00E662A4" w:rsidRDefault="00236912" w:rsidP="00183989">
      <w:pPr>
        <w:spacing w:line="480" w:lineRule="auto"/>
        <w:ind w:left="720" w:hanging="720"/>
        <w:jc w:val="both"/>
        <w:rPr>
          <w:sz w:val="24"/>
          <w:szCs w:val="24"/>
        </w:rPr>
      </w:pPr>
      <w:r w:rsidRPr="5B2504EC">
        <w:rPr>
          <w:sz w:val="24"/>
          <w:szCs w:val="24"/>
        </w:rPr>
        <w:t>A.</w:t>
      </w:r>
      <w:r>
        <w:tab/>
      </w:r>
      <w:r w:rsidR="00381574" w:rsidRPr="5B2504EC">
        <w:rPr>
          <w:sz w:val="24"/>
          <w:szCs w:val="24"/>
        </w:rPr>
        <w:t>My testimony supports $</w:t>
      </w:r>
      <w:r w:rsidR="4F51A998" w:rsidRPr="5B2504EC">
        <w:rPr>
          <w:sz w:val="24"/>
          <w:szCs w:val="24"/>
        </w:rPr>
        <w:t>11.3</w:t>
      </w:r>
      <w:r w:rsidR="00381574" w:rsidRPr="5B2504EC">
        <w:rPr>
          <w:sz w:val="24"/>
          <w:szCs w:val="24"/>
        </w:rPr>
        <w:t xml:space="preserve"> </w:t>
      </w:r>
      <w:r w:rsidR="34C6C37D" w:rsidRPr="28BB05D6">
        <w:rPr>
          <w:sz w:val="24"/>
          <w:szCs w:val="24"/>
        </w:rPr>
        <w:t xml:space="preserve">million </w:t>
      </w:r>
      <w:r w:rsidR="00381574" w:rsidRPr="5B2504EC">
        <w:rPr>
          <w:sz w:val="24"/>
          <w:szCs w:val="24"/>
        </w:rPr>
        <w:t xml:space="preserve">in O&amp;M costs associated with </w:t>
      </w:r>
      <w:r w:rsidR="004C266F">
        <w:rPr>
          <w:sz w:val="24"/>
          <w:szCs w:val="24"/>
        </w:rPr>
        <w:t>EMO</w:t>
      </w:r>
      <w:r w:rsidR="00381574" w:rsidRPr="5B2504EC">
        <w:rPr>
          <w:sz w:val="24"/>
          <w:szCs w:val="24"/>
        </w:rPr>
        <w:t>, including $</w:t>
      </w:r>
      <w:r w:rsidR="0C478E71" w:rsidRPr="5B2504EC">
        <w:rPr>
          <w:sz w:val="24"/>
          <w:szCs w:val="24"/>
        </w:rPr>
        <w:t>3.</w:t>
      </w:r>
      <w:r w:rsidR="007A3EDA">
        <w:rPr>
          <w:sz w:val="24"/>
          <w:szCs w:val="24"/>
        </w:rPr>
        <w:t>2</w:t>
      </w:r>
      <w:r w:rsidR="00381574" w:rsidRPr="5B2504EC">
        <w:rPr>
          <w:sz w:val="24"/>
          <w:szCs w:val="24"/>
        </w:rPr>
        <w:t xml:space="preserve"> </w:t>
      </w:r>
      <w:r w:rsidR="70F1D29D" w:rsidRPr="28BB05D6">
        <w:rPr>
          <w:sz w:val="24"/>
          <w:szCs w:val="24"/>
        </w:rPr>
        <w:t xml:space="preserve">million </w:t>
      </w:r>
      <w:r w:rsidR="00381574" w:rsidRPr="5B2504EC">
        <w:rPr>
          <w:sz w:val="24"/>
          <w:szCs w:val="24"/>
        </w:rPr>
        <w:t xml:space="preserve">of costs related to SMT. </w:t>
      </w:r>
    </w:p>
    <w:p w14:paraId="592E76B3" w14:textId="17E6498C" w:rsidR="00236912" w:rsidRPr="00922212" w:rsidRDefault="00236912" w:rsidP="00183989">
      <w:pPr>
        <w:spacing w:line="480" w:lineRule="auto"/>
        <w:ind w:left="720" w:hanging="720"/>
        <w:jc w:val="both"/>
        <w:rPr>
          <w:b/>
          <w:bCs/>
          <w:sz w:val="24"/>
          <w:szCs w:val="24"/>
        </w:rPr>
      </w:pPr>
      <w:r w:rsidRPr="1E8A8C27">
        <w:rPr>
          <w:b/>
          <w:bCs/>
          <w:sz w:val="24"/>
          <w:szCs w:val="24"/>
        </w:rPr>
        <w:t xml:space="preserve">Q. </w:t>
      </w:r>
      <w:r>
        <w:tab/>
      </w:r>
      <w:r w:rsidRPr="1E8A8C27">
        <w:rPr>
          <w:b/>
          <w:bCs/>
          <w:sz w:val="24"/>
          <w:szCs w:val="24"/>
        </w:rPr>
        <w:t>HAVE YOU PREPARED ANY EXHIBITS IN CONNECTION WITH YOUR TESTIMONY?</w:t>
      </w:r>
    </w:p>
    <w:p w14:paraId="265E5DE2" w14:textId="6FE9D27C" w:rsidR="398C0758" w:rsidRDefault="398C0758" w:rsidP="004178B0">
      <w:pPr>
        <w:pStyle w:val="BodyText"/>
        <w:widowControl/>
        <w:pBdr>
          <w:left w:val="none" w:sz="0" w:space="0" w:color="auto"/>
        </w:pBdr>
        <w:ind w:left="720" w:hanging="720"/>
        <w:jc w:val="both"/>
        <w:rPr>
          <w:b w:val="0"/>
        </w:rPr>
      </w:pPr>
      <w:r>
        <w:rPr>
          <w:b w:val="0"/>
        </w:rPr>
        <w:t>A.</w:t>
      </w:r>
      <w:r>
        <w:tab/>
      </w:r>
      <w:r w:rsidR="0000774C" w:rsidRPr="0000774C">
        <w:rPr>
          <w:b w:val="0"/>
          <w:bCs/>
        </w:rPr>
        <w:t>No</w:t>
      </w:r>
      <w:r w:rsidR="1C2B4335" w:rsidRPr="0000774C">
        <w:rPr>
          <w:b w:val="0"/>
          <w:bCs/>
        </w:rPr>
        <w:t>.</w:t>
      </w:r>
    </w:p>
    <w:p w14:paraId="3D9C8193" w14:textId="77777777" w:rsidR="00236912" w:rsidRPr="00922212" w:rsidRDefault="00236912" w:rsidP="004178B0">
      <w:pPr>
        <w:spacing w:line="480" w:lineRule="auto"/>
        <w:ind w:left="720" w:hanging="720"/>
        <w:jc w:val="both"/>
        <w:rPr>
          <w:b/>
          <w:bCs/>
          <w:sz w:val="24"/>
          <w:szCs w:val="24"/>
        </w:rPr>
      </w:pPr>
      <w:r w:rsidRPr="1E8A8C27">
        <w:rPr>
          <w:b/>
          <w:bCs/>
          <w:sz w:val="24"/>
          <w:szCs w:val="24"/>
        </w:rPr>
        <w:t xml:space="preserve">Q. </w:t>
      </w:r>
      <w:r>
        <w:tab/>
      </w:r>
      <w:r w:rsidRPr="1E8A8C27">
        <w:rPr>
          <w:b/>
          <w:bCs/>
          <w:sz w:val="24"/>
          <w:szCs w:val="24"/>
        </w:rPr>
        <w:t>HOW DOES YOUR TESTIMONY RELATE TO THE TESTIMONY OF OTHER WITNESSES IN THIS PROCEEDING?</w:t>
      </w:r>
    </w:p>
    <w:p w14:paraId="3823BE9E" w14:textId="1E2D5271" w:rsidR="00236912" w:rsidRDefault="00236912" w:rsidP="00FD5856">
      <w:pPr>
        <w:pStyle w:val="BodyText"/>
        <w:widowControl/>
        <w:pBdr>
          <w:left w:val="none" w:sz="0" w:space="0" w:color="auto"/>
        </w:pBdr>
        <w:ind w:left="720" w:hanging="720"/>
        <w:jc w:val="both"/>
        <w:rPr>
          <w:b w:val="0"/>
        </w:rPr>
      </w:pPr>
      <w:r>
        <w:rPr>
          <w:b w:val="0"/>
        </w:rPr>
        <w:t>A.</w:t>
      </w:r>
      <w:r>
        <w:t xml:space="preserve"> </w:t>
      </w:r>
      <w:r w:rsidR="00FD5856">
        <w:tab/>
      </w:r>
      <w:r w:rsidR="00FD5856">
        <w:rPr>
          <w:b w:val="0"/>
        </w:rPr>
        <w:t>Several of the specific issues that I address in my direct testimony are also supported by other CenterPoint Houston witnesses.  First, my testimony addresses the</w:t>
      </w:r>
      <w:r w:rsidR="7467C36F">
        <w:rPr>
          <w:b w:val="0"/>
        </w:rPr>
        <w:t xml:space="preserve"> planning and budgeting for </w:t>
      </w:r>
      <w:r w:rsidR="004C266F">
        <w:rPr>
          <w:b w:val="0"/>
        </w:rPr>
        <w:t>EMO</w:t>
      </w:r>
      <w:r w:rsidR="7467C36F">
        <w:rPr>
          <w:b w:val="0"/>
        </w:rPr>
        <w:t xml:space="preserve"> and SMT costs.  </w:t>
      </w:r>
      <w:r w:rsidR="00FD5856">
        <w:rPr>
          <w:b w:val="0"/>
        </w:rPr>
        <w:t xml:space="preserve">Other aspects of those topics are addressed and supported by </w:t>
      </w:r>
      <w:r w:rsidR="00F76134">
        <w:rPr>
          <w:b w:val="0"/>
        </w:rPr>
        <w:t xml:space="preserve">Company witness </w:t>
      </w:r>
      <w:r w:rsidR="67BE6522">
        <w:rPr>
          <w:b w:val="0"/>
        </w:rPr>
        <w:t xml:space="preserve">L. </w:t>
      </w:r>
      <w:r w:rsidR="00C07625">
        <w:rPr>
          <w:b w:val="0"/>
        </w:rPr>
        <w:t>Darre</w:t>
      </w:r>
      <w:r w:rsidR="00F76134">
        <w:rPr>
          <w:b w:val="0"/>
        </w:rPr>
        <w:t>n Storey</w:t>
      </w:r>
      <w:r w:rsidR="7467C36F">
        <w:rPr>
          <w:b w:val="0"/>
        </w:rPr>
        <w:t>.</w:t>
      </w:r>
      <w:r w:rsidR="00FD5856">
        <w:rPr>
          <w:b w:val="0"/>
        </w:rPr>
        <w:t xml:space="preserve">  </w:t>
      </w:r>
      <w:r w:rsidR="00FD5856" w:rsidRPr="00D960A4">
        <w:rPr>
          <w:b w:val="0"/>
        </w:rPr>
        <w:t xml:space="preserve">Company witness </w:t>
      </w:r>
      <w:r w:rsidR="003A7F79" w:rsidRPr="00D960A4">
        <w:rPr>
          <w:b w:val="0"/>
        </w:rPr>
        <w:t>Ann Bulkley</w:t>
      </w:r>
      <w:r w:rsidR="00FD5856" w:rsidRPr="00551E76">
        <w:rPr>
          <w:b w:val="0"/>
        </w:rPr>
        <w:t xml:space="preserve"> discusses the overall risk profile of CenterPoint Houston and discusses the risks associated with the Company’s CR customer base, which</w:t>
      </w:r>
      <w:r w:rsidR="00FD5856" w:rsidRPr="00D960A4">
        <w:rPr>
          <w:b w:val="0"/>
        </w:rPr>
        <w:t xml:space="preserve"> I also discuss briefly below</w:t>
      </w:r>
      <w:r w:rsidR="00FD5856" w:rsidRPr="00205AC0">
        <w:rPr>
          <w:b w:val="0"/>
        </w:rPr>
        <w:t>.</w:t>
      </w:r>
      <w:r w:rsidR="00F96F86">
        <w:rPr>
          <w:b w:val="0"/>
        </w:rPr>
        <w:t xml:space="preserve">  </w:t>
      </w:r>
      <w:r w:rsidR="000A440B">
        <w:rPr>
          <w:b w:val="0"/>
        </w:rPr>
        <w:t xml:space="preserve">Company witness Shonda Royston-Johnson discusses the </w:t>
      </w:r>
      <w:r w:rsidR="002359EF">
        <w:rPr>
          <w:b w:val="0"/>
        </w:rPr>
        <w:t xml:space="preserve">Customer Operations organization, of which </w:t>
      </w:r>
      <w:r w:rsidR="004C266F">
        <w:rPr>
          <w:b w:val="0"/>
        </w:rPr>
        <w:t>EMO</w:t>
      </w:r>
      <w:r w:rsidR="002359EF">
        <w:rPr>
          <w:b w:val="0"/>
        </w:rPr>
        <w:t xml:space="preserve"> is a part.  </w:t>
      </w:r>
    </w:p>
    <w:p w14:paraId="4E54818C" w14:textId="1F6D5E9C" w:rsidR="00236912" w:rsidRPr="00183989" w:rsidRDefault="398C0758" w:rsidP="00B66E85">
      <w:pPr>
        <w:spacing w:line="480" w:lineRule="auto"/>
        <w:ind w:left="720" w:hanging="720"/>
        <w:jc w:val="both"/>
        <w:rPr>
          <w:b/>
          <w:bCs/>
          <w:caps/>
          <w:sz w:val="24"/>
          <w:szCs w:val="24"/>
        </w:rPr>
      </w:pPr>
      <w:r w:rsidRPr="00183989">
        <w:rPr>
          <w:b/>
          <w:bCs/>
          <w:caps/>
          <w:sz w:val="24"/>
          <w:szCs w:val="24"/>
        </w:rPr>
        <w:t xml:space="preserve">Q. </w:t>
      </w:r>
      <w:r w:rsidR="011E7F81" w:rsidRPr="00183989">
        <w:rPr>
          <w:b/>
          <w:bCs/>
          <w:caps/>
          <w:sz w:val="24"/>
          <w:szCs w:val="24"/>
        </w:rPr>
        <w:t xml:space="preserve"> </w:t>
      </w:r>
      <w:r w:rsidR="004C266F" w:rsidRPr="00183989">
        <w:rPr>
          <w:b/>
          <w:bCs/>
          <w:caps/>
          <w:sz w:val="24"/>
          <w:szCs w:val="24"/>
        </w:rPr>
        <w:tab/>
        <w:t>Was your testimony, including associated exhibits prepared by you or under your direct supervision and control?</w:t>
      </w:r>
      <w:r w:rsidR="004C266F" w:rsidRPr="00183989" w:rsidDel="004C266F">
        <w:rPr>
          <w:b/>
          <w:bCs/>
          <w:caps/>
          <w:sz w:val="24"/>
          <w:szCs w:val="24"/>
        </w:rPr>
        <w:t xml:space="preserve"> </w:t>
      </w:r>
    </w:p>
    <w:p w14:paraId="3018D780" w14:textId="2698CAE0" w:rsidR="007043EF" w:rsidRDefault="00236912" w:rsidP="007043EF">
      <w:pPr>
        <w:pStyle w:val="BodyText"/>
        <w:widowControl/>
        <w:pBdr>
          <w:left w:val="none" w:sz="0" w:space="0" w:color="auto"/>
        </w:pBdr>
        <w:jc w:val="both"/>
        <w:rPr>
          <w:szCs w:val="24"/>
          <w:u w:val="single"/>
        </w:rPr>
      </w:pPr>
      <w:r w:rsidRPr="00B66E85">
        <w:rPr>
          <w:b w:val="0"/>
          <w:szCs w:val="24"/>
        </w:rPr>
        <w:t>A.</w:t>
      </w:r>
      <w:r w:rsidR="00FD5856">
        <w:rPr>
          <w:szCs w:val="24"/>
        </w:rPr>
        <w:tab/>
      </w:r>
      <w:r w:rsidR="00FD5856">
        <w:rPr>
          <w:b w:val="0"/>
          <w:bCs/>
          <w:szCs w:val="24"/>
        </w:rPr>
        <w:t>Yes.</w:t>
      </w:r>
    </w:p>
    <w:p w14:paraId="4855BEE8" w14:textId="031AE454" w:rsidR="00FD5856" w:rsidRPr="00183989" w:rsidRDefault="006811F3" w:rsidP="002206BB">
      <w:pPr>
        <w:pStyle w:val="CROutline1"/>
        <w:keepNext/>
        <w:keepLines/>
        <w:tabs>
          <w:tab w:val="clear" w:pos="540"/>
        </w:tabs>
        <w:ind w:left="720" w:hanging="720"/>
        <w:rPr>
          <w:caps/>
        </w:rPr>
      </w:pPr>
      <w:bookmarkStart w:id="7" w:name="_Toc159491385"/>
      <w:r w:rsidRPr="00183989">
        <w:rPr>
          <w:caps/>
        </w:rPr>
        <w:lastRenderedPageBreak/>
        <w:t xml:space="preserve">Organization, </w:t>
      </w:r>
      <w:r w:rsidR="00273FEB" w:rsidRPr="00183989">
        <w:rPr>
          <w:caps/>
        </w:rPr>
        <w:t xml:space="preserve">Functions, and Costs of </w:t>
      </w:r>
      <w:r w:rsidR="004C266F" w:rsidRPr="00183989">
        <w:rPr>
          <w:caps/>
        </w:rPr>
        <w:t>EMO</w:t>
      </w:r>
      <w:bookmarkEnd w:id="7"/>
    </w:p>
    <w:p w14:paraId="7D30A672" w14:textId="18B26195" w:rsidR="008368E5" w:rsidRPr="00F47932" w:rsidRDefault="00251F29" w:rsidP="002206BB">
      <w:pPr>
        <w:pStyle w:val="BodyText"/>
        <w:keepNext/>
        <w:keepLines/>
        <w:widowControl/>
        <w:pBdr>
          <w:left w:val="none" w:sz="0" w:space="0" w:color="auto"/>
        </w:pBdr>
        <w:ind w:left="720" w:hanging="720"/>
        <w:jc w:val="both"/>
      </w:pPr>
      <w:r>
        <w:rPr>
          <w:szCs w:val="24"/>
        </w:rPr>
        <w:t>Q.</w:t>
      </w:r>
      <w:r>
        <w:rPr>
          <w:szCs w:val="24"/>
        </w:rPr>
        <w:tab/>
      </w:r>
      <w:r w:rsidR="008368E5" w:rsidRPr="00F47932">
        <w:t xml:space="preserve">HOW IS </w:t>
      </w:r>
      <w:r w:rsidR="004C266F">
        <w:t>EMO</w:t>
      </w:r>
      <w:r w:rsidR="008368E5" w:rsidRPr="00F47932">
        <w:t xml:space="preserve"> ORGANIZED?</w:t>
      </w:r>
    </w:p>
    <w:p w14:paraId="4E6E4FE9" w14:textId="28AE0DCB" w:rsidR="008368E5" w:rsidRDefault="008368E5" w:rsidP="002206BB">
      <w:pPr>
        <w:pStyle w:val="BodyText"/>
        <w:keepNext/>
        <w:keepLines/>
        <w:widowControl/>
        <w:pBdr>
          <w:left w:val="none" w:sz="0" w:space="0" w:color="auto"/>
        </w:pBdr>
        <w:ind w:left="720" w:hanging="720"/>
        <w:jc w:val="both"/>
        <w:rPr>
          <w:b w:val="0"/>
        </w:rPr>
      </w:pPr>
      <w:r>
        <w:rPr>
          <w:b w:val="0"/>
        </w:rPr>
        <w:t>A.</w:t>
      </w:r>
      <w:r>
        <w:rPr>
          <w:b w:val="0"/>
        </w:rPr>
        <w:tab/>
      </w:r>
      <w:r w:rsidR="004C266F">
        <w:rPr>
          <w:b w:val="0"/>
        </w:rPr>
        <w:t>EMO</w:t>
      </w:r>
      <w:r>
        <w:rPr>
          <w:b w:val="0"/>
        </w:rPr>
        <w:t xml:space="preserve"> is </w:t>
      </w:r>
      <w:r w:rsidR="00F13421">
        <w:rPr>
          <w:b w:val="0"/>
        </w:rPr>
        <w:t xml:space="preserve">part of the Customer Operations </w:t>
      </w:r>
      <w:r w:rsidR="00DF221B">
        <w:rPr>
          <w:b w:val="0"/>
        </w:rPr>
        <w:t>o</w:t>
      </w:r>
      <w:r w:rsidR="00F13421">
        <w:rPr>
          <w:b w:val="0"/>
        </w:rPr>
        <w:t>rganization</w:t>
      </w:r>
      <w:r w:rsidR="001C09BA">
        <w:rPr>
          <w:b w:val="0"/>
        </w:rPr>
        <w:t xml:space="preserve">; the rest of the Customer Operations </w:t>
      </w:r>
      <w:r w:rsidR="00DF221B">
        <w:rPr>
          <w:b w:val="0"/>
        </w:rPr>
        <w:t>o</w:t>
      </w:r>
      <w:r w:rsidR="001C09BA">
        <w:rPr>
          <w:b w:val="0"/>
        </w:rPr>
        <w:t xml:space="preserve">rganization is discussed by </w:t>
      </w:r>
      <w:r w:rsidR="003A2762">
        <w:rPr>
          <w:b w:val="0"/>
        </w:rPr>
        <w:t xml:space="preserve">Company witness </w:t>
      </w:r>
      <w:r w:rsidR="00882DAC">
        <w:rPr>
          <w:b w:val="0"/>
        </w:rPr>
        <w:t xml:space="preserve">Ms. </w:t>
      </w:r>
      <w:r w:rsidR="001C09BA">
        <w:rPr>
          <w:b w:val="0"/>
        </w:rPr>
        <w:t xml:space="preserve">Royston-Johnson.  </w:t>
      </w:r>
      <w:r w:rsidR="004C266F">
        <w:rPr>
          <w:b w:val="0"/>
        </w:rPr>
        <w:t>EMO</w:t>
      </w:r>
      <w:r w:rsidR="00F13421">
        <w:rPr>
          <w:b w:val="0"/>
        </w:rPr>
        <w:t xml:space="preserve"> is </w:t>
      </w:r>
      <w:r>
        <w:rPr>
          <w:b w:val="0"/>
        </w:rPr>
        <w:t xml:space="preserve">comprised of four functional areas organized into seven </w:t>
      </w:r>
      <w:r w:rsidRPr="00AB7EDC">
        <w:rPr>
          <w:b w:val="0"/>
        </w:rPr>
        <w:t>independent functional groups operating under that management structure:</w:t>
      </w:r>
      <w:r>
        <w:rPr>
          <w:b w:val="0"/>
        </w:rPr>
        <w:t xml:space="preserve">  </w:t>
      </w:r>
    </w:p>
    <w:p w14:paraId="0897A0B0" w14:textId="603CB2C6" w:rsidR="008368E5" w:rsidRDefault="008368E5" w:rsidP="00F113E1">
      <w:pPr>
        <w:pStyle w:val="BodyText"/>
        <w:widowControl/>
        <w:numPr>
          <w:ilvl w:val="0"/>
          <w:numId w:val="2"/>
        </w:numPr>
        <w:pBdr>
          <w:left w:val="none" w:sz="0" w:space="0" w:color="auto"/>
        </w:pBdr>
        <w:jc w:val="both"/>
        <w:rPr>
          <w:b w:val="0"/>
        </w:rPr>
      </w:pPr>
      <w:r>
        <w:t>Transaction Management</w:t>
      </w:r>
      <w:r w:rsidR="004C266F">
        <w:rPr>
          <w:b w:val="0"/>
        </w:rPr>
        <w:t>, which includes:</w:t>
      </w:r>
    </w:p>
    <w:p w14:paraId="5610B262" w14:textId="13A3414E" w:rsidR="008368E5" w:rsidRDefault="008368E5" w:rsidP="00F113E1">
      <w:pPr>
        <w:pStyle w:val="BodyText"/>
        <w:widowControl/>
        <w:numPr>
          <w:ilvl w:val="1"/>
          <w:numId w:val="3"/>
        </w:numPr>
        <w:pBdr>
          <w:left w:val="none" w:sz="0" w:space="0" w:color="auto"/>
        </w:pBdr>
        <w:jc w:val="both"/>
        <w:rPr>
          <w:b w:val="0"/>
        </w:rPr>
      </w:pPr>
      <w:r>
        <w:rPr>
          <w:b w:val="0"/>
        </w:rPr>
        <w:t>Enrollment Transaction Management</w:t>
      </w:r>
      <w:r w:rsidR="3F7241DB">
        <w:rPr>
          <w:b w:val="0"/>
        </w:rPr>
        <w:t>,</w:t>
      </w:r>
    </w:p>
    <w:p w14:paraId="59984DAA" w14:textId="790D0BF9" w:rsidR="008368E5" w:rsidRDefault="008368E5" w:rsidP="00F113E1">
      <w:pPr>
        <w:pStyle w:val="BodyText"/>
        <w:widowControl/>
        <w:numPr>
          <w:ilvl w:val="1"/>
          <w:numId w:val="3"/>
        </w:numPr>
        <w:pBdr>
          <w:left w:val="none" w:sz="0" w:space="0" w:color="auto"/>
        </w:pBdr>
        <w:jc w:val="both"/>
        <w:rPr>
          <w:b w:val="0"/>
        </w:rPr>
      </w:pPr>
      <w:r w:rsidRPr="001E763C">
        <w:rPr>
          <w:b w:val="0"/>
        </w:rPr>
        <w:t>Service Order Transaction Management</w:t>
      </w:r>
      <w:r w:rsidR="418DADD3">
        <w:rPr>
          <w:b w:val="0"/>
        </w:rPr>
        <w:t>,</w:t>
      </w:r>
    </w:p>
    <w:p w14:paraId="42E85A75" w14:textId="049149F8" w:rsidR="008368E5" w:rsidRDefault="008368E5" w:rsidP="00F113E1">
      <w:pPr>
        <w:pStyle w:val="BodyText"/>
        <w:widowControl/>
        <w:numPr>
          <w:ilvl w:val="1"/>
          <w:numId w:val="3"/>
        </w:numPr>
        <w:pBdr>
          <w:left w:val="none" w:sz="0" w:space="0" w:color="auto"/>
        </w:pBdr>
        <w:jc w:val="both"/>
        <w:rPr>
          <w:b w:val="0"/>
        </w:rPr>
      </w:pPr>
      <w:r>
        <w:rPr>
          <w:b w:val="0"/>
        </w:rPr>
        <w:t>Billing and Usage Transaction Management</w:t>
      </w:r>
      <w:r w:rsidR="6835A94A">
        <w:rPr>
          <w:b w:val="0"/>
        </w:rPr>
        <w:t>,</w:t>
      </w:r>
      <w:r w:rsidR="7E923ECB">
        <w:rPr>
          <w:b w:val="0"/>
        </w:rPr>
        <w:t xml:space="preserve"> and</w:t>
      </w:r>
    </w:p>
    <w:p w14:paraId="42BB950D" w14:textId="7D321DA9" w:rsidR="009C070C" w:rsidRPr="002B4C75" w:rsidRDefault="009C070C" w:rsidP="00F113E1">
      <w:pPr>
        <w:pStyle w:val="BodyText"/>
        <w:widowControl/>
        <w:numPr>
          <w:ilvl w:val="1"/>
          <w:numId w:val="3"/>
        </w:numPr>
        <w:pBdr>
          <w:left w:val="none" w:sz="0" w:space="0" w:color="auto"/>
        </w:pBdr>
        <w:jc w:val="both"/>
        <w:rPr>
          <w:b w:val="0"/>
        </w:rPr>
      </w:pPr>
      <w:r>
        <w:rPr>
          <w:b w:val="0"/>
        </w:rPr>
        <w:t>Issue Resolution</w:t>
      </w:r>
      <w:r w:rsidR="003649AE">
        <w:rPr>
          <w:b w:val="0"/>
        </w:rPr>
        <w:t>;</w:t>
      </w:r>
    </w:p>
    <w:p w14:paraId="66E32354" w14:textId="00C8B075" w:rsidR="008368E5" w:rsidRDefault="00F24305" w:rsidP="00F113E1">
      <w:pPr>
        <w:pStyle w:val="BodyText"/>
        <w:widowControl/>
        <w:numPr>
          <w:ilvl w:val="0"/>
          <w:numId w:val="2"/>
        </w:numPr>
        <w:pBdr>
          <w:left w:val="none" w:sz="0" w:space="0" w:color="auto"/>
        </w:pBdr>
        <w:jc w:val="both"/>
        <w:rPr>
          <w:b w:val="0"/>
        </w:rPr>
      </w:pPr>
      <w:r w:rsidRPr="003649AE">
        <w:t>Business Consulting</w:t>
      </w:r>
      <w:r w:rsidR="003649AE">
        <w:rPr>
          <w:b w:val="0"/>
        </w:rPr>
        <w:t>;</w:t>
      </w:r>
    </w:p>
    <w:p w14:paraId="32CF2BC7" w14:textId="221438ED" w:rsidR="008368E5" w:rsidRDefault="00F24305" w:rsidP="00F113E1">
      <w:pPr>
        <w:pStyle w:val="BodyText"/>
        <w:widowControl/>
        <w:numPr>
          <w:ilvl w:val="0"/>
          <w:numId w:val="2"/>
        </w:numPr>
        <w:pBdr>
          <w:left w:val="none" w:sz="0" w:space="0" w:color="auto"/>
        </w:pBdr>
        <w:jc w:val="both"/>
        <w:rPr>
          <w:b w:val="0"/>
        </w:rPr>
      </w:pPr>
      <w:r w:rsidRPr="003649AE">
        <w:t>Electric Market Relations</w:t>
      </w:r>
      <w:r w:rsidR="003649AE">
        <w:rPr>
          <w:b w:val="0"/>
        </w:rPr>
        <w:t>; and</w:t>
      </w:r>
    </w:p>
    <w:p w14:paraId="5199CD07" w14:textId="652B52E8" w:rsidR="5B2504EC" w:rsidRDefault="008368E5" w:rsidP="00F113E1">
      <w:pPr>
        <w:pStyle w:val="BodyText"/>
        <w:widowControl/>
        <w:numPr>
          <w:ilvl w:val="0"/>
          <w:numId w:val="2"/>
        </w:numPr>
        <w:pBdr>
          <w:left w:val="none" w:sz="0" w:space="0" w:color="auto"/>
        </w:pBdr>
        <w:jc w:val="both"/>
        <w:rPr>
          <w:b w:val="0"/>
        </w:rPr>
      </w:pPr>
      <w:r w:rsidRPr="003649AE">
        <w:t>Program Management</w:t>
      </w:r>
      <w:r w:rsidR="003649AE">
        <w:rPr>
          <w:b w:val="0"/>
        </w:rPr>
        <w:t>.</w:t>
      </w:r>
    </w:p>
    <w:p w14:paraId="35CBC581" w14:textId="54CF61F8" w:rsidR="008368E5" w:rsidRPr="00746D1C" w:rsidRDefault="008368E5" w:rsidP="008368E5">
      <w:pPr>
        <w:pStyle w:val="BodyText"/>
        <w:widowControl/>
        <w:pBdr>
          <w:left w:val="none" w:sz="0" w:space="0" w:color="auto"/>
        </w:pBdr>
        <w:ind w:left="720" w:hanging="720"/>
        <w:jc w:val="both"/>
        <w:rPr>
          <w:caps/>
        </w:rPr>
      </w:pPr>
      <w:r w:rsidRPr="00746D1C">
        <w:rPr>
          <w:caps/>
        </w:rPr>
        <w:t>Q.</w:t>
      </w:r>
      <w:r>
        <w:tab/>
      </w:r>
      <w:r w:rsidRPr="00746D1C">
        <w:rPr>
          <w:caps/>
        </w:rPr>
        <w:t xml:space="preserve">How </w:t>
      </w:r>
      <w:r w:rsidR="47016F9C" w:rsidRPr="1E8A8C27">
        <w:rPr>
          <w:caps/>
        </w:rPr>
        <w:t>ha</w:t>
      </w:r>
      <w:r w:rsidR="0B055C00" w:rsidRPr="1E8A8C27">
        <w:rPr>
          <w:caps/>
        </w:rPr>
        <w:t>ve</w:t>
      </w:r>
      <w:r w:rsidR="47016F9C" w:rsidRPr="1E8A8C27">
        <w:rPr>
          <w:caps/>
        </w:rPr>
        <w:t xml:space="preserve"> </w:t>
      </w:r>
      <w:r w:rsidR="30858E9D" w:rsidRPr="1E8A8C27">
        <w:rPr>
          <w:caps/>
        </w:rPr>
        <w:t>the</w:t>
      </w:r>
      <w:r w:rsidR="47016F9C" w:rsidRPr="1E8A8C27">
        <w:rPr>
          <w:caps/>
        </w:rPr>
        <w:t xml:space="preserve"> </w:t>
      </w:r>
      <w:r w:rsidRPr="00746D1C">
        <w:rPr>
          <w:caps/>
        </w:rPr>
        <w:t xml:space="preserve">functions and organization </w:t>
      </w:r>
      <w:r w:rsidR="0B136D97" w:rsidRPr="1E8A8C27">
        <w:rPr>
          <w:caps/>
        </w:rPr>
        <w:t xml:space="preserve">of </w:t>
      </w:r>
      <w:r w:rsidR="004C266F">
        <w:rPr>
          <w:caps/>
        </w:rPr>
        <w:t>EMO</w:t>
      </w:r>
      <w:r w:rsidR="0B136D97" w:rsidRPr="1E8A8C27">
        <w:rPr>
          <w:caps/>
        </w:rPr>
        <w:t xml:space="preserve"> </w:t>
      </w:r>
      <w:r w:rsidRPr="00746D1C">
        <w:rPr>
          <w:caps/>
        </w:rPr>
        <w:t>changed since the last rate case?</w:t>
      </w:r>
    </w:p>
    <w:p w14:paraId="15226F4A" w14:textId="7A576A0E" w:rsidR="00AE3B1D" w:rsidRDefault="008368E5" w:rsidP="0050306C">
      <w:pPr>
        <w:pStyle w:val="BodyText"/>
        <w:widowControl/>
        <w:pBdr>
          <w:left w:val="none" w:sz="0" w:space="0" w:color="auto"/>
        </w:pBdr>
        <w:ind w:left="720" w:hanging="720"/>
        <w:jc w:val="both"/>
        <w:rPr>
          <w:b w:val="0"/>
        </w:rPr>
      </w:pPr>
      <w:r>
        <w:rPr>
          <w:b w:val="0"/>
        </w:rPr>
        <w:t>A.</w:t>
      </w:r>
      <w:r>
        <w:tab/>
      </w:r>
      <w:r w:rsidR="00192CD8">
        <w:rPr>
          <w:b w:val="0"/>
        </w:rPr>
        <w:t xml:space="preserve">At the time of CenterPoint Houston’s last rate case, the </w:t>
      </w:r>
      <w:r w:rsidR="1F0B0316">
        <w:rPr>
          <w:b w:val="0"/>
        </w:rPr>
        <w:t xml:space="preserve">Company’s </w:t>
      </w:r>
      <w:r w:rsidR="7143A8A6">
        <w:rPr>
          <w:b w:val="0"/>
        </w:rPr>
        <w:t>c</w:t>
      </w:r>
      <w:r w:rsidR="6E247DD1">
        <w:rPr>
          <w:b w:val="0"/>
        </w:rPr>
        <w:t>redit</w:t>
      </w:r>
      <w:r w:rsidR="00192CD8">
        <w:rPr>
          <w:b w:val="0"/>
        </w:rPr>
        <w:t xml:space="preserve"> and </w:t>
      </w:r>
      <w:r w:rsidR="595CF836">
        <w:rPr>
          <w:b w:val="0"/>
        </w:rPr>
        <w:t>b</w:t>
      </w:r>
      <w:r w:rsidR="6E247DD1">
        <w:rPr>
          <w:b w:val="0"/>
        </w:rPr>
        <w:t xml:space="preserve">usiness </w:t>
      </w:r>
      <w:r w:rsidR="2AE5BAAD">
        <w:rPr>
          <w:b w:val="0"/>
        </w:rPr>
        <w:t>r</w:t>
      </w:r>
      <w:r w:rsidR="6E247DD1">
        <w:rPr>
          <w:b w:val="0"/>
        </w:rPr>
        <w:t xml:space="preserve">isk </w:t>
      </w:r>
      <w:r w:rsidR="5A5BF8F1">
        <w:rPr>
          <w:b w:val="0"/>
        </w:rPr>
        <w:t>m</w:t>
      </w:r>
      <w:r w:rsidR="6E247DD1">
        <w:rPr>
          <w:b w:val="0"/>
        </w:rPr>
        <w:t>anagement</w:t>
      </w:r>
      <w:r w:rsidR="00192CD8">
        <w:rPr>
          <w:b w:val="0"/>
        </w:rPr>
        <w:t xml:space="preserve"> function was organizationally part of EMO.  During the </w:t>
      </w:r>
      <w:r w:rsidR="4811012F">
        <w:rPr>
          <w:b w:val="0"/>
        </w:rPr>
        <w:t>Test</w:t>
      </w:r>
      <w:r w:rsidR="3BD80057">
        <w:rPr>
          <w:b w:val="0"/>
        </w:rPr>
        <w:t xml:space="preserve"> Year</w:t>
      </w:r>
      <w:r w:rsidR="00192CD8">
        <w:rPr>
          <w:b w:val="0"/>
        </w:rPr>
        <w:t xml:space="preserve">, the </w:t>
      </w:r>
      <w:r w:rsidR="3B72750E">
        <w:rPr>
          <w:b w:val="0"/>
        </w:rPr>
        <w:t>Company’s</w:t>
      </w:r>
      <w:r w:rsidR="00192CD8">
        <w:rPr>
          <w:b w:val="0"/>
        </w:rPr>
        <w:t xml:space="preserve"> Credit and Business Risk team transitioned to be part of the </w:t>
      </w:r>
      <w:r w:rsidR="0A589AA7">
        <w:rPr>
          <w:b w:val="0"/>
        </w:rPr>
        <w:t>Company’s</w:t>
      </w:r>
      <w:r w:rsidR="00192CD8" w:rsidRPr="00183989">
        <w:rPr>
          <w:b w:val="0"/>
        </w:rPr>
        <w:t xml:space="preserve"> Billing and Credit</w:t>
      </w:r>
      <w:r w:rsidR="00192CD8">
        <w:rPr>
          <w:b w:val="0"/>
        </w:rPr>
        <w:t xml:space="preserve"> group.  However, I discuss this function in my testimony </w:t>
      </w:r>
      <w:r w:rsidR="00A86FAE">
        <w:rPr>
          <w:b w:val="0"/>
        </w:rPr>
        <w:t xml:space="preserve">due to its relationship to </w:t>
      </w:r>
      <w:r w:rsidR="2AEA449A">
        <w:rPr>
          <w:b w:val="0"/>
        </w:rPr>
        <w:t xml:space="preserve">Company’s </w:t>
      </w:r>
      <w:r w:rsidR="00A86FAE">
        <w:rPr>
          <w:b w:val="0"/>
        </w:rPr>
        <w:t xml:space="preserve">role in the retail electric market.  </w:t>
      </w:r>
      <w:r w:rsidR="00192CD8">
        <w:rPr>
          <w:b w:val="0"/>
        </w:rPr>
        <w:t xml:space="preserve"> </w:t>
      </w:r>
      <w:bookmarkStart w:id="8" w:name="_Toc3806800"/>
    </w:p>
    <w:p w14:paraId="75A8643F" w14:textId="5F510AAF" w:rsidR="009C070C" w:rsidRPr="00A45675" w:rsidRDefault="002206BB" w:rsidP="0076197E">
      <w:pPr>
        <w:pStyle w:val="CROutline1"/>
        <w:keepNext/>
        <w:keepLines/>
        <w:numPr>
          <w:ilvl w:val="0"/>
          <w:numId w:val="7"/>
        </w:numPr>
        <w:outlineLvl w:val="1"/>
      </w:pPr>
      <w:bookmarkStart w:id="9" w:name="_Toc159491386"/>
      <w:r w:rsidRPr="00A45675">
        <w:lastRenderedPageBreak/>
        <w:t>TRANSACTION MANAGEMENT</w:t>
      </w:r>
      <w:bookmarkEnd w:id="8"/>
      <w:bookmarkEnd w:id="9"/>
    </w:p>
    <w:p w14:paraId="581AB401" w14:textId="77777777" w:rsidR="009C070C" w:rsidRDefault="009C070C" w:rsidP="002206BB">
      <w:pPr>
        <w:pStyle w:val="BodyText"/>
        <w:keepNext/>
        <w:keepLines/>
        <w:widowControl/>
        <w:pBdr>
          <w:left w:val="none" w:sz="0" w:space="0" w:color="auto"/>
        </w:pBdr>
        <w:ind w:left="720" w:hanging="720"/>
        <w:jc w:val="both"/>
      </w:pPr>
      <w:r>
        <w:t>Q.</w:t>
      </w:r>
      <w:r>
        <w:tab/>
        <w:t>CAN YOU DESCRIBE THE TRANSACTION MANAGEMENT GROUP AND ITS FUNCTIONS?</w:t>
      </w:r>
    </w:p>
    <w:p w14:paraId="13787297" w14:textId="61EBF6B8" w:rsidR="009C070C" w:rsidRDefault="009C070C" w:rsidP="5D145532">
      <w:pPr>
        <w:pStyle w:val="BodyText"/>
        <w:keepNext/>
        <w:widowControl/>
        <w:pBdr>
          <w:left w:val="none" w:sz="0" w:space="0" w:color="auto"/>
        </w:pBdr>
        <w:ind w:left="720" w:hanging="720"/>
        <w:jc w:val="both"/>
        <w:rPr>
          <w:b w:val="0"/>
        </w:rPr>
      </w:pPr>
      <w:r>
        <w:rPr>
          <w:b w:val="0"/>
        </w:rPr>
        <w:t>A.</w:t>
      </w:r>
      <w:r>
        <w:tab/>
      </w:r>
      <w:r>
        <w:rPr>
          <w:b w:val="0"/>
        </w:rPr>
        <w:t xml:space="preserve">Transaction Management is responsible for the processing and delivery of all electronic transactions related to CenterPoint Houston’s role in the competitive retail electric market, including, enrollments, service orders, and billing and usage transactions.  </w:t>
      </w:r>
      <w:r w:rsidR="00DC73DF">
        <w:rPr>
          <w:b w:val="0"/>
        </w:rPr>
        <w:t>The</w:t>
      </w:r>
      <w:r>
        <w:rPr>
          <w:b w:val="0"/>
        </w:rPr>
        <w:t xml:space="preserve"> work of Transaction Management is accomplished by four teams: Enrollments</w:t>
      </w:r>
      <w:r w:rsidR="00DC73DF">
        <w:rPr>
          <w:b w:val="0"/>
        </w:rPr>
        <w:t>;</w:t>
      </w:r>
      <w:r>
        <w:rPr>
          <w:b w:val="0"/>
        </w:rPr>
        <w:t xml:space="preserve"> Service Orders</w:t>
      </w:r>
      <w:r w:rsidR="00DC73DF">
        <w:rPr>
          <w:b w:val="0"/>
        </w:rPr>
        <w:t>;</w:t>
      </w:r>
      <w:r>
        <w:rPr>
          <w:b w:val="0"/>
        </w:rPr>
        <w:t xml:space="preserve"> Billing and Usage</w:t>
      </w:r>
      <w:r w:rsidR="00DC73DF">
        <w:rPr>
          <w:b w:val="0"/>
        </w:rPr>
        <w:t>;</w:t>
      </w:r>
      <w:r>
        <w:rPr>
          <w:b w:val="0"/>
        </w:rPr>
        <w:t xml:space="preserve"> and Issue Resolution.  </w:t>
      </w:r>
      <w:r w:rsidR="00262DB9">
        <w:rPr>
          <w:b w:val="0"/>
        </w:rPr>
        <w:t>All</w:t>
      </w:r>
      <w:r>
        <w:rPr>
          <w:b w:val="0"/>
        </w:rPr>
        <w:t xml:space="preserve"> Transaction Management teams are responsible for executing and monitoring the processes and controls that </w:t>
      </w:r>
      <w:r w:rsidR="3AB31B32">
        <w:rPr>
          <w:b w:val="0"/>
        </w:rPr>
        <w:t>en</w:t>
      </w:r>
      <w:r>
        <w:rPr>
          <w:b w:val="0"/>
        </w:rPr>
        <w:t xml:space="preserve">sure the processing of retail market transactions in compliance with the applicable rules and protocols.  </w:t>
      </w:r>
      <w:r w:rsidR="00262DB9">
        <w:rPr>
          <w:b w:val="0"/>
        </w:rPr>
        <w:t>The teams are also responsible for resolving processing exceptions and errors in a timely manner.</w:t>
      </w:r>
    </w:p>
    <w:p w14:paraId="24C5599F" w14:textId="37FC9CCF" w:rsidR="00DC73DF" w:rsidRPr="00E4726D" w:rsidRDefault="00DC73DF" w:rsidP="00BC201F">
      <w:pPr>
        <w:pStyle w:val="CROutline2"/>
        <w:numPr>
          <w:ilvl w:val="1"/>
          <w:numId w:val="4"/>
        </w:numPr>
        <w:jc w:val="center"/>
      </w:pPr>
      <w:bookmarkStart w:id="10" w:name="_Toc159491387"/>
      <w:r w:rsidRPr="00E4726D">
        <w:t xml:space="preserve">Enrollment Transaction </w:t>
      </w:r>
      <w:r w:rsidR="00E4726D" w:rsidRPr="007F177C">
        <w:t>M</w:t>
      </w:r>
      <w:r w:rsidRPr="00E4726D">
        <w:t>anagement</w:t>
      </w:r>
      <w:bookmarkEnd w:id="10"/>
    </w:p>
    <w:p w14:paraId="69798A32" w14:textId="77777777" w:rsidR="009C070C" w:rsidRPr="004B03C1" w:rsidRDefault="009C070C" w:rsidP="009C070C">
      <w:pPr>
        <w:pStyle w:val="BodyText"/>
        <w:keepNext/>
        <w:widowControl/>
        <w:pBdr>
          <w:left w:val="none" w:sz="0" w:space="0" w:color="auto"/>
        </w:pBdr>
        <w:tabs>
          <w:tab w:val="left" w:pos="0"/>
        </w:tabs>
        <w:ind w:left="720" w:hanging="720"/>
        <w:jc w:val="both"/>
      </w:pPr>
      <w:r w:rsidRPr="00831B03">
        <w:t>Q.</w:t>
      </w:r>
      <w:r>
        <w:rPr>
          <w:b w:val="0"/>
        </w:rPr>
        <w:tab/>
      </w:r>
      <w:r w:rsidRPr="004B03C1">
        <w:t xml:space="preserve">WHAT </w:t>
      </w:r>
      <w:r>
        <w:t>IS THE ENROLLMENT TRANSACTION MANAGEMENT</w:t>
      </w:r>
      <w:r w:rsidRPr="004B03C1">
        <w:t xml:space="preserve"> GROUP AND WHAT ARE ITS RESPONSIBILITIES?</w:t>
      </w:r>
    </w:p>
    <w:p w14:paraId="76B78324" w14:textId="71188411" w:rsidR="009C070C" w:rsidRPr="009B5FF6" w:rsidRDefault="009C070C" w:rsidP="28B9646C">
      <w:pPr>
        <w:pStyle w:val="BodyText"/>
        <w:widowControl/>
        <w:pBdr>
          <w:left w:val="none" w:sz="0" w:space="0" w:color="auto"/>
        </w:pBdr>
        <w:ind w:left="720" w:hanging="720"/>
        <w:jc w:val="both"/>
        <w:rPr>
          <w:b w:val="0"/>
        </w:rPr>
      </w:pPr>
      <w:r>
        <w:rPr>
          <w:b w:val="0"/>
        </w:rPr>
        <w:t>A.</w:t>
      </w:r>
      <w:r>
        <w:tab/>
      </w:r>
      <w:r>
        <w:rPr>
          <w:b w:val="0"/>
        </w:rPr>
        <w:t>Enrollment Transaction Management is responsible for monitoring and controls related to enrollment transactions.  An enrollment transaction is a transaction that results in the change of the CR of Record and includes Switch Requests, Move-In Requests, Move-Out Requests, and any subsequent date changes</w:t>
      </w:r>
      <w:r w:rsidR="0053571F">
        <w:rPr>
          <w:b w:val="0"/>
        </w:rPr>
        <w:t xml:space="preserve"> or</w:t>
      </w:r>
      <w:r>
        <w:rPr>
          <w:b w:val="0"/>
        </w:rPr>
        <w:t xml:space="preserve"> cancellations.  This group also handles premise-level transactions for updates </w:t>
      </w:r>
      <w:r w:rsidR="0053571F">
        <w:rPr>
          <w:b w:val="0"/>
        </w:rPr>
        <w:t>of</w:t>
      </w:r>
      <w:r>
        <w:rPr>
          <w:b w:val="0"/>
        </w:rPr>
        <w:t xml:space="preserve"> premise information, address</w:t>
      </w:r>
      <w:r w:rsidR="0053571F">
        <w:rPr>
          <w:b w:val="0"/>
        </w:rPr>
        <w:t>es</w:t>
      </w:r>
      <w:r w:rsidRPr="003F2013">
        <w:rPr>
          <w:b w:val="0"/>
        </w:rPr>
        <w:t>, meter exchanges and load profile changes.</w:t>
      </w:r>
      <w:r>
        <w:rPr>
          <w:b w:val="0"/>
        </w:rPr>
        <w:t xml:space="preserve">  </w:t>
      </w:r>
    </w:p>
    <w:p w14:paraId="792EFA41" w14:textId="2128590D" w:rsidR="009C070C" w:rsidRDefault="009C070C" w:rsidP="009C070C">
      <w:pPr>
        <w:pStyle w:val="BodyText"/>
        <w:widowControl/>
        <w:pBdr>
          <w:left w:val="none" w:sz="0" w:space="0" w:color="auto"/>
        </w:pBdr>
        <w:ind w:left="720" w:firstLine="720"/>
        <w:jc w:val="both"/>
        <w:rPr>
          <w:b w:val="0"/>
        </w:rPr>
      </w:pPr>
      <w:bookmarkStart w:id="11" w:name="_Hlk146102443"/>
      <w:r>
        <w:rPr>
          <w:b w:val="0"/>
        </w:rPr>
        <w:t xml:space="preserve">Enrollment Transaction Management personnel are responsible for </w:t>
      </w:r>
      <w:r w:rsidR="0053571F">
        <w:rPr>
          <w:b w:val="0"/>
        </w:rPr>
        <w:t>real</w:t>
      </w:r>
      <w:r w:rsidR="004960F2">
        <w:rPr>
          <w:b w:val="0"/>
        </w:rPr>
        <w:noBreakHyphen/>
      </w:r>
      <w:r w:rsidR="0053571F">
        <w:rPr>
          <w:b w:val="0"/>
        </w:rPr>
        <w:t xml:space="preserve">time monitoring of </w:t>
      </w:r>
      <w:r>
        <w:rPr>
          <w:b w:val="0"/>
        </w:rPr>
        <w:t xml:space="preserve">enrollment transactions </w:t>
      </w:r>
      <w:r w:rsidR="0053571F">
        <w:rPr>
          <w:b w:val="0"/>
        </w:rPr>
        <w:t xml:space="preserve">being processed </w:t>
      </w:r>
      <w:r>
        <w:rPr>
          <w:b w:val="0"/>
        </w:rPr>
        <w:t xml:space="preserve">through the </w:t>
      </w:r>
      <w:r>
        <w:rPr>
          <w:b w:val="0"/>
        </w:rPr>
        <w:lastRenderedPageBreak/>
        <w:t xml:space="preserve">CenterPoint Houston systems as well as root cause analysis and correction of overdue </w:t>
      </w:r>
      <w:r w:rsidR="00D45309">
        <w:rPr>
          <w:b w:val="0"/>
        </w:rPr>
        <w:t xml:space="preserve">or failed </w:t>
      </w:r>
      <w:r>
        <w:rPr>
          <w:b w:val="0"/>
        </w:rPr>
        <w:t xml:space="preserve">market transactions relating to enrollment requests. </w:t>
      </w:r>
      <w:bookmarkEnd w:id="11"/>
      <w:r>
        <w:rPr>
          <w:b w:val="0"/>
        </w:rPr>
        <w:t xml:space="preserve"> </w:t>
      </w:r>
      <w:r w:rsidR="0053571F">
        <w:rPr>
          <w:b w:val="0"/>
        </w:rPr>
        <w:t>The team</w:t>
      </w:r>
      <w:r>
        <w:rPr>
          <w:b w:val="0"/>
        </w:rPr>
        <w:t xml:space="preserve"> works to address and </w:t>
      </w:r>
      <w:r w:rsidR="00D45309">
        <w:rPr>
          <w:b w:val="0"/>
        </w:rPr>
        <w:t>provide</w:t>
      </w:r>
      <w:r>
        <w:rPr>
          <w:b w:val="0"/>
        </w:rPr>
        <w:t xml:space="preserve"> timely resolution of inquiries from CRs regarding </w:t>
      </w:r>
      <w:r w:rsidR="00D97881">
        <w:rPr>
          <w:b w:val="0"/>
        </w:rPr>
        <w:t>Retail Customer</w:t>
      </w:r>
      <w:r>
        <w:rPr>
          <w:b w:val="0"/>
        </w:rPr>
        <w:t xml:space="preserve"> accounts and </w:t>
      </w:r>
      <w:r w:rsidR="001F5565">
        <w:rPr>
          <w:b w:val="0"/>
        </w:rPr>
        <w:t>resolves</w:t>
      </w:r>
      <w:r>
        <w:rPr>
          <w:b w:val="0"/>
        </w:rPr>
        <w:t xml:space="preserve"> market exceptions relating to enrollments, including inadvertent switches or disputed enrollments.  </w:t>
      </w:r>
    </w:p>
    <w:p w14:paraId="1A438B53" w14:textId="77777777" w:rsidR="009C070C" w:rsidRPr="005A0CE0" w:rsidRDefault="009C070C" w:rsidP="009C070C">
      <w:pPr>
        <w:pStyle w:val="BodyText"/>
        <w:widowControl/>
        <w:pBdr>
          <w:left w:val="none" w:sz="0" w:space="0" w:color="auto"/>
        </w:pBdr>
        <w:ind w:left="720" w:hanging="720"/>
        <w:jc w:val="both"/>
      </w:pPr>
      <w:r w:rsidRPr="005A0CE0">
        <w:t>Q.</w:t>
      </w:r>
      <w:r w:rsidRPr="005A0CE0">
        <w:tab/>
        <w:t>WHAT OTHER RESPONSIBILITIES DOES THE ENROLLMENT TRANSACTION MANAGEMENT GROUP HAVE?</w:t>
      </w:r>
    </w:p>
    <w:p w14:paraId="2C449E6F" w14:textId="58435748" w:rsidR="009C070C" w:rsidRDefault="009C070C" w:rsidP="009C070C">
      <w:pPr>
        <w:pStyle w:val="BodyText"/>
        <w:widowControl/>
        <w:pBdr>
          <w:left w:val="none" w:sz="0" w:space="0" w:color="auto"/>
        </w:pBdr>
        <w:ind w:left="720" w:hanging="720"/>
        <w:jc w:val="both"/>
        <w:rPr>
          <w:b w:val="0"/>
        </w:rPr>
      </w:pPr>
      <w:r>
        <w:rPr>
          <w:b w:val="0"/>
        </w:rPr>
        <w:t>A.</w:t>
      </w:r>
      <w:r>
        <w:rPr>
          <w:b w:val="0"/>
        </w:rPr>
        <w:tab/>
      </w:r>
      <w:bookmarkStart w:id="12" w:name="_Hlk146103653"/>
      <w:r w:rsidRPr="00E71F19">
        <w:rPr>
          <w:b w:val="0"/>
        </w:rPr>
        <w:t xml:space="preserve">Enrollment Transaction Management also </w:t>
      </w:r>
      <w:r w:rsidR="001F5565">
        <w:rPr>
          <w:b w:val="0"/>
        </w:rPr>
        <w:t>collaborates</w:t>
      </w:r>
      <w:r w:rsidRPr="00E71F19">
        <w:rPr>
          <w:b w:val="0"/>
        </w:rPr>
        <w:t xml:space="preserve"> with the </w:t>
      </w:r>
      <w:r w:rsidR="001F5565">
        <w:rPr>
          <w:b w:val="0"/>
        </w:rPr>
        <w:t>Information Technology (“IT”)</w:t>
      </w:r>
      <w:r>
        <w:rPr>
          <w:b w:val="0"/>
        </w:rPr>
        <w:t xml:space="preserve"> </w:t>
      </w:r>
      <w:r w:rsidRPr="00E71F19">
        <w:rPr>
          <w:b w:val="0"/>
        </w:rPr>
        <w:t xml:space="preserve">department </w:t>
      </w:r>
      <w:r>
        <w:rPr>
          <w:b w:val="0"/>
        </w:rPr>
        <w:t xml:space="preserve">and </w:t>
      </w:r>
      <w:r w:rsidR="001F5565">
        <w:rPr>
          <w:b w:val="0"/>
        </w:rPr>
        <w:t xml:space="preserve">the </w:t>
      </w:r>
      <w:r w:rsidR="004C266F">
        <w:rPr>
          <w:b w:val="0"/>
        </w:rPr>
        <w:t>EMO</w:t>
      </w:r>
      <w:r>
        <w:rPr>
          <w:b w:val="0"/>
        </w:rPr>
        <w:t xml:space="preserve"> Business Consulting </w:t>
      </w:r>
      <w:r w:rsidR="001F5565">
        <w:rPr>
          <w:b w:val="0"/>
        </w:rPr>
        <w:t>team</w:t>
      </w:r>
      <w:r>
        <w:rPr>
          <w:b w:val="0"/>
        </w:rPr>
        <w:t xml:space="preserve"> </w:t>
      </w:r>
      <w:r w:rsidR="001F5565">
        <w:rPr>
          <w:b w:val="0"/>
        </w:rPr>
        <w:t>to develop and deliver</w:t>
      </w:r>
      <w:r w:rsidRPr="00E71F19">
        <w:rPr>
          <w:b w:val="0"/>
        </w:rPr>
        <w:t xml:space="preserve"> system enhancements by </w:t>
      </w:r>
      <w:r w:rsidR="001F5565">
        <w:rPr>
          <w:b w:val="0"/>
        </w:rPr>
        <w:t>defining</w:t>
      </w:r>
      <w:r w:rsidRPr="00E71F19">
        <w:rPr>
          <w:b w:val="0"/>
        </w:rPr>
        <w:t xml:space="preserve"> requirements, participating in </w:t>
      </w:r>
      <w:r w:rsidR="001F5565">
        <w:rPr>
          <w:b w:val="0"/>
        </w:rPr>
        <w:t>functional</w:t>
      </w:r>
      <w:r w:rsidRPr="00E71F19">
        <w:rPr>
          <w:b w:val="0"/>
        </w:rPr>
        <w:t xml:space="preserve"> design, </w:t>
      </w:r>
      <w:r w:rsidR="001F5565">
        <w:rPr>
          <w:b w:val="0"/>
        </w:rPr>
        <w:t xml:space="preserve">and </w:t>
      </w:r>
      <w:r w:rsidRPr="00E71F19">
        <w:rPr>
          <w:b w:val="0"/>
        </w:rPr>
        <w:t>performing user testing.</w:t>
      </w:r>
      <w:bookmarkEnd w:id="12"/>
      <w:r w:rsidRPr="00E71F19">
        <w:rPr>
          <w:b w:val="0"/>
        </w:rPr>
        <w:t xml:space="preserve">  </w:t>
      </w:r>
      <w:r w:rsidR="001F5565" w:rsidRPr="00BC584A">
        <w:rPr>
          <w:b w:val="0"/>
        </w:rPr>
        <w:t>The team</w:t>
      </w:r>
      <w:r w:rsidRPr="00BC584A">
        <w:rPr>
          <w:b w:val="0"/>
        </w:rPr>
        <w:t xml:space="preserve"> is also responsible for translating new market rules into actual internal system requirements for CenterPoint Houston to ensure the Company’s compliance with these standards.</w:t>
      </w:r>
      <w:r w:rsidRPr="00E71F19">
        <w:rPr>
          <w:b w:val="0"/>
        </w:rPr>
        <w:t xml:space="preserve">  </w:t>
      </w:r>
    </w:p>
    <w:p w14:paraId="7E3AA2D6" w14:textId="69D8898C" w:rsidR="000105DB" w:rsidRPr="007F177C" w:rsidRDefault="000105DB" w:rsidP="00BC201F">
      <w:pPr>
        <w:pStyle w:val="CROutline2"/>
        <w:numPr>
          <w:ilvl w:val="1"/>
          <w:numId w:val="4"/>
        </w:numPr>
        <w:jc w:val="center"/>
      </w:pPr>
      <w:bookmarkStart w:id="13" w:name="_Toc159491388"/>
      <w:r w:rsidRPr="007F177C">
        <w:t>Service Order Transaction Management</w:t>
      </w:r>
      <w:bookmarkEnd w:id="13"/>
    </w:p>
    <w:p w14:paraId="4A8F6D18" w14:textId="77777777" w:rsidR="00415F3B" w:rsidRDefault="00415F3B" w:rsidP="00415F3B">
      <w:pPr>
        <w:pStyle w:val="BodyText"/>
        <w:keepNext/>
        <w:widowControl/>
        <w:pBdr>
          <w:left w:val="none" w:sz="0" w:space="0" w:color="auto"/>
        </w:pBdr>
        <w:ind w:left="720" w:hanging="720"/>
        <w:jc w:val="both"/>
      </w:pPr>
      <w:r w:rsidRPr="00831B03">
        <w:t>Q.</w:t>
      </w:r>
      <w:r>
        <w:rPr>
          <w:b w:val="0"/>
        </w:rPr>
        <w:tab/>
      </w:r>
      <w:r>
        <w:t>WHAT IS THE SERVICE ORDER TRANSACTION MANAGEMENT</w:t>
      </w:r>
      <w:r w:rsidRPr="004B03C1">
        <w:t xml:space="preserve"> GROUP AND WHAT ARE ITS RE</w:t>
      </w:r>
      <w:r>
        <w:t>S</w:t>
      </w:r>
      <w:r w:rsidRPr="004B03C1">
        <w:t>PONSIBILIT</w:t>
      </w:r>
      <w:r>
        <w:t>I</w:t>
      </w:r>
      <w:r w:rsidRPr="004B03C1">
        <w:t>ES?</w:t>
      </w:r>
    </w:p>
    <w:p w14:paraId="24DA9F11" w14:textId="3EDDE2E6" w:rsidR="00415F3B" w:rsidRPr="00717D05" w:rsidRDefault="00415F3B" w:rsidP="00415F3B">
      <w:pPr>
        <w:pStyle w:val="BodyText"/>
        <w:widowControl/>
        <w:pBdr>
          <w:left w:val="none" w:sz="0" w:space="0" w:color="auto"/>
        </w:pBdr>
        <w:ind w:left="720" w:hanging="720"/>
        <w:jc w:val="both"/>
        <w:rPr>
          <w:b w:val="0"/>
        </w:rPr>
      </w:pPr>
      <w:r>
        <w:rPr>
          <w:b w:val="0"/>
        </w:rPr>
        <w:t>A.</w:t>
      </w:r>
      <w:r>
        <w:rPr>
          <w:b w:val="0"/>
        </w:rPr>
        <w:tab/>
        <w:t xml:space="preserve">Service Order Transaction Management personnel are responsible for monitoring delivery and completion of transactions relating to the disconnection and reconnection of service at a customer’s premise, meter tests, meter re-reads, </w:t>
      </w:r>
      <w:r w:rsidRPr="00CA2481">
        <w:rPr>
          <w:b w:val="0"/>
        </w:rPr>
        <w:t>meter exchanges</w:t>
      </w:r>
      <w:r>
        <w:rPr>
          <w:b w:val="0"/>
        </w:rPr>
        <w:t xml:space="preserve">, and a variety of </w:t>
      </w:r>
      <w:r w:rsidRPr="00183989">
        <w:rPr>
          <w:b w:val="0"/>
        </w:rPr>
        <w:t>additional service-related orders</w:t>
      </w:r>
      <w:r>
        <w:rPr>
          <w:b w:val="0"/>
        </w:rPr>
        <w:t xml:space="preserve">.  Service Order Transaction Management personnel are responsible for real-time monitoring of service order transactions being processed through the CenterPoint Houston systems as well as root cause analysis and correction of overdue market transactions </w:t>
      </w:r>
      <w:r>
        <w:rPr>
          <w:b w:val="0"/>
        </w:rPr>
        <w:lastRenderedPageBreak/>
        <w:t xml:space="preserve">relating to enrollment requests. </w:t>
      </w:r>
      <w:r w:rsidRPr="009F7D50">
        <w:rPr>
          <w:b w:val="0"/>
        </w:rPr>
        <w:t>Service Order Transaction Management uses the MarkeTrak tool</w:t>
      </w:r>
      <w:r w:rsidR="002F3B6A" w:rsidRPr="00183989">
        <w:rPr>
          <w:rStyle w:val="FootnoteReference"/>
          <w:b w:val="0"/>
        </w:rPr>
        <w:footnoteReference w:id="2"/>
      </w:r>
      <w:r w:rsidRPr="00183989">
        <w:rPr>
          <w:b w:val="0"/>
        </w:rPr>
        <w:t xml:space="preserve"> to address and ensure timely resolution of inquiries from CRs regarding </w:t>
      </w:r>
      <w:r w:rsidR="00D97881">
        <w:rPr>
          <w:b w:val="0"/>
        </w:rPr>
        <w:t>Retail Customer</w:t>
      </w:r>
      <w:r w:rsidRPr="00183989">
        <w:rPr>
          <w:b w:val="0"/>
        </w:rPr>
        <w:t xml:space="preserve"> accounts and reviews and </w:t>
      </w:r>
      <w:r w:rsidR="00262DB9" w:rsidRPr="00183989">
        <w:rPr>
          <w:b w:val="0"/>
        </w:rPr>
        <w:t>resolves</w:t>
      </w:r>
      <w:r w:rsidRPr="00183989">
        <w:rPr>
          <w:b w:val="0"/>
        </w:rPr>
        <w:t xml:space="preserve"> market exceptions and disputes relating to service order transactions</w:t>
      </w:r>
      <w:r w:rsidR="00775CC0">
        <w:rPr>
          <w:b w:val="0"/>
        </w:rPr>
        <w:t>.</w:t>
      </w:r>
    </w:p>
    <w:p w14:paraId="7215209F" w14:textId="7142E3C2" w:rsidR="00415F3B" w:rsidRDefault="00415F3B" w:rsidP="0050306C">
      <w:pPr>
        <w:pStyle w:val="BodyText"/>
        <w:widowControl/>
        <w:pBdr>
          <w:left w:val="none" w:sz="0" w:space="0" w:color="auto"/>
        </w:pBdr>
        <w:ind w:left="720" w:firstLine="720"/>
        <w:jc w:val="both"/>
        <w:rPr>
          <w:b w:val="0"/>
        </w:rPr>
      </w:pPr>
      <w:r w:rsidRPr="00850AEE">
        <w:rPr>
          <w:b w:val="0"/>
        </w:rPr>
        <w:t xml:space="preserve">Like Enrollment Transaction Management, Service Order </w:t>
      </w:r>
      <w:r w:rsidR="00026463">
        <w:rPr>
          <w:b w:val="0"/>
        </w:rPr>
        <w:t xml:space="preserve">Transaction </w:t>
      </w:r>
      <w:r w:rsidRPr="00850AEE">
        <w:rPr>
          <w:b w:val="0"/>
        </w:rPr>
        <w:t xml:space="preserve">Management </w:t>
      </w:r>
      <w:r>
        <w:rPr>
          <w:b w:val="0"/>
        </w:rPr>
        <w:t>a</w:t>
      </w:r>
      <w:r w:rsidRPr="00850AEE">
        <w:rPr>
          <w:b w:val="0"/>
        </w:rPr>
        <w:t xml:space="preserve">lso works closely with the </w:t>
      </w:r>
      <w:r>
        <w:rPr>
          <w:b w:val="0"/>
        </w:rPr>
        <w:t>IT</w:t>
      </w:r>
      <w:r w:rsidRPr="00850AEE">
        <w:rPr>
          <w:b w:val="0"/>
        </w:rPr>
        <w:t xml:space="preserve"> department </w:t>
      </w:r>
      <w:r>
        <w:rPr>
          <w:b w:val="0"/>
        </w:rPr>
        <w:t xml:space="preserve">and Business Consulting </w:t>
      </w:r>
      <w:r w:rsidRPr="00850AEE">
        <w:rPr>
          <w:b w:val="0"/>
        </w:rPr>
        <w:t xml:space="preserve">in the development of enhancements related to service order </w:t>
      </w:r>
      <w:r>
        <w:rPr>
          <w:b w:val="0"/>
        </w:rPr>
        <w:t xml:space="preserve">transaction </w:t>
      </w:r>
      <w:r w:rsidRPr="00850AEE">
        <w:rPr>
          <w:b w:val="0"/>
        </w:rPr>
        <w:t>processing</w:t>
      </w:r>
      <w:r>
        <w:rPr>
          <w:b w:val="0"/>
        </w:rPr>
        <w:t>, including</w:t>
      </w:r>
      <w:r w:rsidRPr="00850AEE">
        <w:rPr>
          <w:b w:val="0"/>
        </w:rPr>
        <w:t xml:space="preserve"> requirements, </w:t>
      </w:r>
      <w:r>
        <w:rPr>
          <w:b w:val="0"/>
        </w:rPr>
        <w:t xml:space="preserve">functional </w:t>
      </w:r>
      <w:r w:rsidRPr="00850AEE">
        <w:rPr>
          <w:b w:val="0"/>
        </w:rPr>
        <w:t xml:space="preserve">design and testing.  </w:t>
      </w:r>
      <w:r w:rsidRPr="00183989">
        <w:rPr>
          <w:b w:val="0"/>
        </w:rPr>
        <w:t>This group’s efforts reduce the need for manual intervention processes, which in turn creates a more effective and efficient operation.</w:t>
      </w:r>
      <w:r w:rsidRPr="00850AEE">
        <w:rPr>
          <w:b w:val="0"/>
        </w:rPr>
        <w:t xml:space="preserve">  Service Order Transaction Management is also responsible for leading and coordinating the Company’s participation in external </w:t>
      </w:r>
      <w:r>
        <w:rPr>
          <w:b w:val="0"/>
        </w:rPr>
        <w:t xml:space="preserve">retail </w:t>
      </w:r>
      <w:r w:rsidRPr="00850AEE">
        <w:rPr>
          <w:b w:val="0"/>
        </w:rPr>
        <w:t>market testing.  This end-to-end</w:t>
      </w:r>
      <w:r w:rsidRPr="00850AEE" w:rsidDel="003722A9">
        <w:rPr>
          <w:b w:val="0"/>
        </w:rPr>
        <w:t xml:space="preserve"> </w:t>
      </w:r>
      <w:r w:rsidR="003722A9" w:rsidRPr="00850AEE">
        <w:rPr>
          <w:b w:val="0"/>
        </w:rPr>
        <w:t>market</w:t>
      </w:r>
      <w:r w:rsidR="003722A9">
        <w:rPr>
          <w:b w:val="0"/>
        </w:rPr>
        <w:t>-</w:t>
      </w:r>
      <w:r w:rsidRPr="00850AEE">
        <w:rPr>
          <w:b w:val="0"/>
        </w:rPr>
        <w:t xml:space="preserve">wide testing is </w:t>
      </w:r>
      <w:r w:rsidRPr="005A0CE0">
        <w:rPr>
          <w:b w:val="0"/>
        </w:rPr>
        <w:t xml:space="preserve">performed </w:t>
      </w:r>
      <w:r w:rsidRPr="003B01C9">
        <w:rPr>
          <w:b w:val="0"/>
        </w:rPr>
        <w:t xml:space="preserve">three times </w:t>
      </w:r>
      <w:r>
        <w:rPr>
          <w:b w:val="0"/>
        </w:rPr>
        <w:t>each</w:t>
      </w:r>
      <w:r w:rsidRPr="003B01C9">
        <w:rPr>
          <w:b w:val="0"/>
        </w:rPr>
        <w:t xml:space="preserve"> year</w:t>
      </w:r>
      <w:r w:rsidRPr="005A0CE0">
        <w:rPr>
          <w:b w:val="0"/>
        </w:rPr>
        <w:t xml:space="preserve"> with ERCOT, </w:t>
      </w:r>
      <w:r w:rsidR="0052616B">
        <w:rPr>
          <w:b w:val="0"/>
        </w:rPr>
        <w:t>transmission and distribution service providers (“</w:t>
      </w:r>
      <w:r w:rsidRPr="005A0CE0">
        <w:rPr>
          <w:b w:val="0"/>
        </w:rPr>
        <w:t>TDSPs</w:t>
      </w:r>
      <w:r w:rsidR="0052616B">
        <w:rPr>
          <w:b w:val="0"/>
        </w:rPr>
        <w:t>”)</w:t>
      </w:r>
      <w:r w:rsidRPr="005A0CE0">
        <w:rPr>
          <w:b w:val="0"/>
        </w:rPr>
        <w:t xml:space="preserve">, and CRs to </w:t>
      </w:r>
      <w:r w:rsidRPr="003B01C9">
        <w:rPr>
          <w:b w:val="0"/>
        </w:rPr>
        <w:t>both support the certification of new CRs</w:t>
      </w:r>
      <w:r w:rsidRPr="00850AEE">
        <w:rPr>
          <w:b w:val="0"/>
        </w:rPr>
        <w:t xml:space="preserve"> entering the retail electric market as well </w:t>
      </w:r>
      <w:r>
        <w:rPr>
          <w:b w:val="0"/>
        </w:rPr>
        <w:t>as test</w:t>
      </w:r>
      <w:r w:rsidRPr="00850AEE">
        <w:rPr>
          <w:b w:val="0"/>
        </w:rPr>
        <w:t xml:space="preserve"> </w:t>
      </w:r>
      <w:r>
        <w:rPr>
          <w:b w:val="0"/>
        </w:rPr>
        <w:t>any</w:t>
      </w:r>
      <w:r w:rsidRPr="00850AEE">
        <w:rPr>
          <w:b w:val="0"/>
        </w:rPr>
        <w:t xml:space="preserve"> new </w:t>
      </w:r>
      <w:r>
        <w:rPr>
          <w:b w:val="0"/>
        </w:rPr>
        <w:t>or updated</w:t>
      </w:r>
      <w:r w:rsidRPr="00850AEE">
        <w:rPr>
          <w:b w:val="0"/>
        </w:rPr>
        <w:t xml:space="preserve"> </w:t>
      </w:r>
      <w:r w:rsidR="49C0E8BE">
        <w:rPr>
          <w:b w:val="0"/>
        </w:rPr>
        <w:t>e</w:t>
      </w:r>
      <w:r w:rsidR="2A4CFBEC" w:rsidRPr="1E8A8C27">
        <w:rPr>
          <w:b w:val="0"/>
          <w:color w:val="000000" w:themeColor="text1"/>
          <w:szCs w:val="24"/>
        </w:rPr>
        <w:t xml:space="preserve">lectronic </w:t>
      </w:r>
      <w:r w:rsidR="7690C3EA">
        <w:rPr>
          <w:b w:val="0"/>
        </w:rPr>
        <w:t>d</w:t>
      </w:r>
      <w:r w:rsidR="2A4CFBEC" w:rsidRPr="1E8A8C27">
        <w:rPr>
          <w:b w:val="0"/>
          <w:color w:val="000000" w:themeColor="text1"/>
          <w:szCs w:val="24"/>
        </w:rPr>
        <w:t xml:space="preserve">ata </w:t>
      </w:r>
      <w:r w:rsidR="1DB69CF4" w:rsidRPr="1E8A8C27">
        <w:rPr>
          <w:b w:val="0"/>
          <w:color w:val="000000" w:themeColor="text1"/>
          <w:szCs w:val="24"/>
        </w:rPr>
        <w:t>i</w:t>
      </w:r>
      <w:r w:rsidR="2A4CFBEC" w:rsidRPr="1E8A8C27">
        <w:rPr>
          <w:b w:val="0"/>
          <w:color w:val="000000" w:themeColor="text1"/>
          <w:szCs w:val="24"/>
        </w:rPr>
        <w:t>nterchange</w:t>
      </w:r>
      <w:r w:rsidR="2A4CFBEC" w:rsidRPr="1E8A8C27">
        <w:t xml:space="preserve"> (“</w:t>
      </w:r>
      <w:r w:rsidRPr="00183989">
        <w:rPr>
          <w:b w:val="0"/>
        </w:rPr>
        <w:t>EDI</w:t>
      </w:r>
      <w:r w:rsidR="53A5315C">
        <w:rPr>
          <w:b w:val="0"/>
        </w:rPr>
        <w:t>”)</w:t>
      </w:r>
      <w:r w:rsidR="65D5D0E8" w:rsidRPr="00183989">
        <w:rPr>
          <w:b w:val="0"/>
        </w:rPr>
        <w:t xml:space="preserve"> </w:t>
      </w:r>
      <w:r w:rsidR="1ED3FCA8" w:rsidRPr="1E8A8C27">
        <w:rPr>
          <w:b w:val="0"/>
          <w:color w:val="000000" w:themeColor="text1"/>
          <w:szCs w:val="24"/>
        </w:rPr>
        <w:t xml:space="preserve">Texas </w:t>
      </w:r>
      <w:r w:rsidR="7D5371D0">
        <w:rPr>
          <w:b w:val="0"/>
        </w:rPr>
        <w:t>s</w:t>
      </w:r>
      <w:r w:rsidR="1ED3FCA8" w:rsidRPr="1E8A8C27">
        <w:rPr>
          <w:b w:val="0"/>
          <w:color w:val="000000" w:themeColor="text1"/>
          <w:szCs w:val="24"/>
        </w:rPr>
        <w:t>tandard</w:t>
      </w:r>
      <w:r w:rsidR="61550579" w:rsidRPr="1E8A8C27">
        <w:rPr>
          <w:b w:val="0"/>
          <w:color w:val="000000" w:themeColor="text1"/>
          <w:szCs w:val="24"/>
        </w:rPr>
        <w:t xml:space="preserve"> e</w:t>
      </w:r>
      <w:r w:rsidR="1ED3FCA8" w:rsidRPr="1E8A8C27">
        <w:rPr>
          <w:b w:val="0"/>
          <w:color w:val="000000" w:themeColor="text1"/>
          <w:szCs w:val="24"/>
        </w:rPr>
        <w:t>lectronic</w:t>
      </w:r>
      <w:r w:rsidRPr="1E8A8C27">
        <w:rPr>
          <w:b w:val="0"/>
          <w:color w:val="000000" w:themeColor="text1"/>
          <w:szCs w:val="24"/>
        </w:rPr>
        <w:t xml:space="preserve"> transactions</w:t>
      </w:r>
      <w:r w:rsidRPr="1E8A8C27">
        <w:t xml:space="preserve"> </w:t>
      </w:r>
      <w:r w:rsidR="1ED3FCA8" w:rsidRPr="1E8A8C27">
        <w:t>(“</w:t>
      </w:r>
      <w:r w:rsidR="65D5D0E8" w:rsidRPr="00183989">
        <w:rPr>
          <w:b w:val="0"/>
        </w:rPr>
        <w:t>TX SET</w:t>
      </w:r>
      <w:r w:rsidR="542CFB29">
        <w:rPr>
          <w:b w:val="0"/>
        </w:rPr>
        <w:t>”)</w:t>
      </w:r>
      <w:r w:rsidR="65D5D0E8">
        <w:rPr>
          <w:b w:val="0"/>
        </w:rPr>
        <w:t xml:space="preserve"> </w:t>
      </w:r>
      <w:r>
        <w:rPr>
          <w:b w:val="0"/>
        </w:rPr>
        <w:t>or other market-wide system process changes</w:t>
      </w:r>
      <w:r w:rsidRPr="00850AEE">
        <w:rPr>
          <w:b w:val="0"/>
        </w:rPr>
        <w:t>.</w:t>
      </w:r>
    </w:p>
    <w:p w14:paraId="4BF1DB7C" w14:textId="04AAA7AE" w:rsidR="4A67461D" w:rsidRPr="007F177C" w:rsidRDefault="4A67461D" w:rsidP="00BC201F">
      <w:pPr>
        <w:pStyle w:val="CROutline2"/>
        <w:keepNext/>
        <w:keepLines/>
        <w:numPr>
          <w:ilvl w:val="1"/>
          <w:numId w:val="4"/>
        </w:numPr>
        <w:jc w:val="center"/>
      </w:pPr>
      <w:bookmarkStart w:id="14" w:name="_Toc159491389"/>
      <w:r w:rsidRPr="007F177C">
        <w:lastRenderedPageBreak/>
        <w:t>Billing &amp; Usage Transaction Management</w:t>
      </w:r>
      <w:bookmarkEnd w:id="14"/>
    </w:p>
    <w:p w14:paraId="7F77D195" w14:textId="77777777" w:rsidR="00262DB9" w:rsidRDefault="00262DB9" w:rsidP="00BC201F">
      <w:pPr>
        <w:pStyle w:val="BodyText"/>
        <w:keepNext/>
        <w:keepLines/>
        <w:widowControl/>
        <w:pBdr>
          <w:left w:val="none" w:sz="0" w:space="0" w:color="auto"/>
        </w:pBdr>
        <w:ind w:left="720" w:hanging="720"/>
        <w:jc w:val="both"/>
      </w:pPr>
      <w:r>
        <w:t>Q.</w:t>
      </w:r>
      <w:r>
        <w:tab/>
      </w:r>
      <w:r w:rsidRPr="007B64AB">
        <w:t xml:space="preserve">WHAT IS </w:t>
      </w:r>
      <w:r>
        <w:t xml:space="preserve">THE </w:t>
      </w:r>
      <w:r w:rsidRPr="007B64AB">
        <w:t xml:space="preserve">BILLING AND USAGE </w:t>
      </w:r>
      <w:r>
        <w:t xml:space="preserve">TRANSACTION MANAGEMENT GROUP </w:t>
      </w:r>
      <w:r w:rsidRPr="007B64AB">
        <w:t>AND WHAT ARE ITS RESPONSIBILITIES?</w:t>
      </w:r>
    </w:p>
    <w:p w14:paraId="7CFCAF89" w14:textId="04D03099" w:rsidR="00262DB9" w:rsidRDefault="43E234D2" w:rsidP="0050306C">
      <w:pPr>
        <w:pStyle w:val="BodyText"/>
        <w:widowControl/>
        <w:pBdr>
          <w:left w:val="none" w:sz="0" w:space="0" w:color="auto"/>
        </w:pBdr>
        <w:ind w:left="720" w:hanging="720"/>
        <w:jc w:val="both"/>
        <w:rPr>
          <w:b w:val="0"/>
        </w:rPr>
      </w:pPr>
      <w:r>
        <w:rPr>
          <w:b w:val="0"/>
        </w:rPr>
        <w:t>A.</w:t>
      </w:r>
      <w:r w:rsidR="00262DB9">
        <w:tab/>
      </w:r>
      <w:r>
        <w:rPr>
          <w:b w:val="0"/>
        </w:rPr>
        <w:t xml:space="preserve">Billing and Usage Transaction Management manages all matters regarding billing and usage transactions, including delivering accurate usage and invoice transactions for Tariff-based retail delivery charges that are rendered to CRs. The team closely monitors transaction delivery to ensure that the usage transactions are loaded into </w:t>
      </w:r>
      <w:r w:rsidR="7999E750" w:rsidRPr="00CA1712">
        <w:rPr>
          <w:b w:val="0"/>
        </w:rPr>
        <w:t>MarkeTrak</w:t>
      </w:r>
      <w:r w:rsidR="499760FA" w:rsidRPr="00CA1712">
        <w:rPr>
          <w:b w:val="0"/>
        </w:rPr>
        <w:t>.</w:t>
      </w:r>
      <w:r>
        <w:rPr>
          <w:b w:val="0"/>
        </w:rPr>
        <w:t xml:space="preserve"> </w:t>
      </w:r>
      <w:r w:rsidRPr="00183989">
        <w:rPr>
          <w:b w:val="0"/>
        </w:rPr>
        <w:t xml:space="preserve">During the </w:t>
      </w:r>
      <w:r w:rsidR="5E763E13" w:rsidRPr="00183989">
        <w:rPr>
          <w:b w:val="0"/>
        </w:rPr>
        <w:t>Test Year</w:t>
      </w:r>
      <w:r>
        <w:rPr>
          <w:b w:val="0"/>
        </w:rPr>
        <w:t xml:space="preserve">, CenterPoint Houston delivered approximately </w:t>
      </w:r>
      <w:r w:rsidR="1E7F44B1" w:rsidRPr="00183989">
        <w:rPr>
          <w:b w:val="0"/>
        </w:rPr>
        <w:t>68.8</w:t>
      </w:r>
      <w:r w:rsidRPr="00183989">
        <w:rPr>
          <w:b w:val="0"/>
        </w:rPr>
        <w:t xml:space="preserve"> million</w:t>
      </w:r>
      <w:r>
        <w:rPr>
          <w:b w:val="0"/>
        </w:rPr>
        <w:t xml:space="preserve"> monthly billing and usage transactions to the market.  The group is also responsible for the daily delivery of 15</w:t>
      </w:r>
      <w:r w:rsidR="3D191DF4">
        <w:rPr>
          <w:b w:val="0"/>
        </w:rPr>
        <w:t>-</w:t>
      </w:r>
      <w:r>
        <w:rPr>
          <w:b w:val="0"/>
        </w:rPr>
        <w:t xml:space="preserve">minute interval usage data to ERCOT and SMT from </w:t>
      </w:r>
      <w:r w:rsidR="004C2DDA">
        <w:rPr>
          <w:b w:val="0"/>
        </w:rPr>
        <w:t xml:space="preserve">approximately </w:t>
      </w:r>
      <w:r w:rsidR="00684712" w:rsidRPr="004A26C0">
        <w:rPr>
          <w:b w:val="0"/>
        </w:rPr>
        <w:t>2.</w:t>
      </w:r>
      <w:r w:rsidR="0085401A">
        <w:rPr>
          <w:b w:val="0"/>
        </w:rPr>
        <w:t>8</w:t>
      </w:r>
      <w:r w:rsidRPr="00183989">
        <w:rPr>
          <w:b w:val="0"/>
        </w:rPr>
        <w:t xml:space="preserve"> million</w:t>
      </w:r>
      <w:r>
        <w:rPr>
          <w:b w:val="0"/>
        </w:rPr>
        <w:t xml:space="preserve"> AMS meters.  The 15-minute interval data is used by ERCOT for the settlement of the wholesale power market.  SMT provides the interval data to CRs and authorized third parties for the use in delivering pricing plans and services to end-use customers.  </w:t>
      </w:r>
      <w:r w:rsidRPr="00183989">
        <w:rPr>
          <w:b w:val="0"/>
        </w:rPr>
        <w:t xml:space="preserve">During the </w:t>
      </w:r>
      <w:r w:rsidR="22F05082" w:rsidRPr="00183989">
        <w:rPr>
          <w:b w:val="0"/>
        </w:rPr>
        <w:t>Test Year</w:t>
      </w:r>
      <w:r w:rsidRPr="00183989">
        <w:rPr>
          <w:b w:val="0"/>
        </w:rPr>
        <w:t>,</w:t>
      </w:r>
      <w:r>
        <w:rPr>
          <w:b w:val="0"/>
        </w:rPr>
        <w:t xml:space="preserve"> CenterPoint Houston delivered more than </w:t>
      </w:r>
      <w:r w:rsidR="29D4978F" w:rsidRPr="00E4726D">
        <w:rPr>
          <w:b w:val="0"/>
        </w:rPr>
        <w:t>2.</w:t>
      </w:r>
      <w:r w:rsidR="53C46934" w:rsidRPr="00E4726D">
        <w:rPr>
          <w:b w:val="0"/>
        </w:rPr>
        <w:t>06</w:t>
      </w:r>
      <w:r w:rsidR="03FFCCCD" w:rsidRPr="00E4726D">
        <w:rPr>
          <w:b w:val="0"/>
        </w:rPr>
        <w:t xml:space="preserve"> </w:t>
      </w:r>
      <w:r>
        <w:rPr>
          <w:b w:val="0"/>
        </w:rPr>
        <w:t xml:space="preserve">billion AMS interval usage records to ERCOT and SMT. </w:t>
      </w:r>
    </w:p>
    <w:p w14:paraId="7D8E0187" w14:textId="51083EB9" w:rsidR="00262DB9" w:rsidRDefault="00262DB9" w:rsidP="0050306C">
      <w:pPr>
        <w:pStyle w:val="BodyText"/>
        <w:widowControl/>
        <w:pBdr>
          <w:left w:val="none" w:sz="0" w:space="0" w:color="auto"/>
        </w:pBdr>
        <w:ind w:left="720" w:hanging="720"/>
        <w:jc w:val="both"/>
        <w:rPr>
          <w:b w:val="0"/>
        </w:rPr>
      </w:pPr>
      <w:r>
        <w:tab/>
      </w:r>
      <w:r w:rsidR="004C2188">
        <w:tab/>
      </w:r>
      <w:r w:rsidR="703D0C8A">
        <w:rPr>
          <w:b w:val="0"/>
        </w:rPr>
        <w:t xml:space="preserve">Billing and Usage </w:t>
      </w:r>
      <w:r w:rsidR="3ACB50E2">
        <w:rPr>
          <w:b w:val="0"/>
        </w:rPr>
        <w:t>Transaction Management</w:t>
      </w:r>
      <w:r w:rsidR="703D0C8A">
        <w:rPr>
          <w:b w:val="0"/>
        </w:rPr>
        <w:t xml:space="preserve"> resolves transaction processing exceptions and addresses missing or disputed monthly and interval usage or billing transactions.</w:t>
      </w:r>
      <w:r w:rsidR="22B54BDE">
        <w:rPr>
          <w:b w:val="0"/>
        </w:rPr>
        <w:t xml:space="preserve"> </w:t>
      </w:r>
      <w:r w:rsidR="7A078F68">
        <w:rPr>
          <w:b w:val="0"/>
        </w:rPr>
        <w:t>The group</w:t>
      </w:r>
      <w:r w:rsidR="22B54BDE">
        <w:rPr>
          <w:b w:val="0"/>
        </w:rPr>
        <w:t xml:space="preserve"> also collaborates with the IT department and </w:t>
      </w:r>
      <w:r w:rsidR="004C266F">
        <w:rPr>
          <w:b w:val="0"/>
        </w:rPr>
        <w:t>EMO</w:t>
      </w:r>
      <w:r w:rsidR="05C7FAA4">
        <w:rPr>
          <w:b w:val="0"/>
        </w:rPr>
        <w:t>’</w:t>
      </w:r>
      <w:r w:rsidR="00E4726D">
        <w:rPr>
          <w:b w:val="0"/>
        </w:rPr>
        <w:t>s</w:t>
      </w:r>
      <w:r w:rsidR="22B54BDE">
        <w:rPr>
          <w:b w:val="0"/>
        </w:rPr>
        <w:t xml:space="preserve"> Business Consulting team to develop and deliver system enhancements by defining requirements, participating in functional design, and performing user testing.</w:t>
      </w:r>
    </w:p>
    <w:p w14:paraId="66D0FD61" w14:textId="3B93EF81" w:rsidR="729F9370" w:rsidRPr="00747361" w:rsidRDefault="729F9370" w:rsidP="00BC201F">
      <w:pPr>
        <w:pStyle w:val="CROutline2"/>
        <w:keepNext/>
        <w:keepLines/>
        <w:numPr>
          <w:ilvl w:val="1"/>
          <w:numId w:val="4"/>
        </w:numPr>
        <w:jc w:val="center"/>
      </w:pPr>
      <w:bookmarkStart w:id="15" w:name="_Toc159491390"/>
      <w:r w:rsidRPr="00747361">
        <w:lastRenderedPageBreak/>
        <w:t>Issue Resolution</w:t>
      </w:r>
      <w:bookmarkEnd w:id="15"/>
    </w:p>
    <w:p w14:paraId="6B6D25D8" w14:textId="7CA750CA" w:rsidR="009775C9" w:rsidRDefault="009775C9" w:rsidP="00BC201F">
      <w:pPr>
        <w:pStyle w:val="BodyText"/>
        <w:keepNext/>
        <w:keepLines/>
        <w:widowControl/>
        <w:pBdr>
          <w:left w:val="none" w:sz="0" w:space="0" w:color="auto"/>
        </w:pBdr>
        <w:ind w:left="720" w:hanging="720"/>
        <w:jc w:val="both"/>
      </w:pPr>
      <w:r w:rsidRPr="00831B03">
        <w:t>Q.</w:t>
      </w:r>
      <w:r>
        <w:rPr>
          <w:b w:val="0"/>
        </w:rPr>
        <w:tab/>
      </w:r>
      <w:r w:rsidRPr="007B64AB">
        <w:t xml:space="preserve">WHAT IS </w:t>
      </w:r>
      <w:r>
        <w:t xml:space="preserve">THE </w:t>
      </w:r>
      <w:r w:rsidR="002460A3">
        <w:t>ISSUE RESOLUTION</w:t>
      </w:r>
      <w:r w:rsidRPr="007B64AB">
        <w:t xml:space="preserve"> </w:t>
      </w:r>
      <w:r>
        <w:t xml:space="preserve">GROUP </w:t>
      </w:r>
      <w:r w:rsidRPr="007B64AB">
        <w:t>AND WHAT ARE ITS RESPONSIBILITIES?</w:t>
      </w:r>
    </w:p>
    <w:p w14:paraId="5551BC43" w14:textId="274F41BA" w:rsidR="009775C9" w:rsidRPr="00815E6F" w:rsidRDefault="009775C9" w:rsidP="4FF615F8">
      <w:pPr>
        <w:pStyle w:val="BodyText"/>
        <w:widowControl/>
        <w:pBdr>
          <w:left w:val="none" w:sz="0" w:space="0" w:color="auto"/>
        </w:pBdr>
        <w:ind w:left="720" w:hanging="720"/>
        <w:jc w:val="both"/>
        <w:rPr>
          <w:b w:val="0"/>
        </w:rPr>
      </w:pPr>
      <w:r>
        <w:rPr>
          <w:b w:val="0"/>
        </w:rPr>
        <w:t>A.</w:t>
      </w:r>
      <w:r>
        <w:tab/>
      </w:r>
      <w:r>
        <w:rPr>
          <w:b w:val="0"/>
        </w:rPr>
        <w:t xml:space="preserve">The </w:t>
      </w:r>
      <w:r w:rsidR="002460A3">
        <w:rPr>
          <w:b w:val="0"/>
        </w:rPr>
        <w:t>Issue Resolution</w:t>
      </w:r>
      <w:r>
        <w:rPr>
          <w:b w:val="0"/>
        </w:rPr>
        <w:t xml:space="preserve"> group is primarily responsible for the back-end exception processing required for transactions received from the market into CenterPoint Houston’s </w:t>
      </w:r>
      <w:r w:rsidR="00B3784E">
        <w:rPr>
          <w:b w:val="0"/>
        </w:rPr>
        <w:t xml:space="preserve">systems, primarily </w:t>
      </w:r>
      <w:r w:rsidR="5719251E">
        <w:rPr>
          <w:b w:val="0"/>
        </w:rPr>
        <w:t>SAP</w:t>
      </w:r>
      <w:r>
        <w:rPr>
          <w:b w:val="0"/>
        </w:rPr>
        <w:t xml:space="preserve">.  </w:t>
      </w:r>
      <w:r w:rsidR="00B3784E">
        <w:rPr>
          <w:b w:val="0"/>
        </w:rPr>
        <w:t>SAP</w:t>
      </w:r>
      <w:r>
        <w:rPr>
          <w:b w:val="0"/>
        </w:rPr>
        <w:t xml:space="preserve"> is the system of record for all premises in CenterPoint Houston’s territory, and contains all relevant data related to each premise, including CR of Record, enrollment history, and usage history.  While each of the Transaction Management groups process</w:t>
      </w:r>
      <w:r w:rsidR="004E7D87">
        <w:rPr>
          <w:b w:val="0"/>
        </w:rPr>
        <w:t>es</w:t>
      </w:r>
      <w:r>
        <w:rPr>
          <w:b w:val="0"/>
        </w:rPr>
        <w:t xml:space="preserve"> various types of system exceptions, </w:t>
      </w:r>
      <w:r w:rsidR="002460A3" w:rsidRPr="00183989">
        <w:rPr>
          <w:b w:val="0"/>
        </w:rPr>
        <w:t>Issue Resolution</w:t>
      </w:r>
      <w:r w:rsidRPr="00183989">
        <w:rPr>
          <w:b w:val="0"/>
        </w:rPr>
        <w:t xml:space="preserve"> focuses on exceptions related specifically to </w:t>
      </w:r>
      <w:r w:rsidR="004E7D87" w:rsidRPr="00183989">
        <w:rPr>
          <w:b w:val="0"/>
        </w:rPr>
        <w:t>SAP</w:t>
      </w:r>
      <w:r w:rsidR="00370297">
        <w:rPr>
          <w:b w:val="0"/>
        </w:rPr>
        <w:t>.</w:t>
      </w:r>
      <w:r w:rsidR="004E7D87">
        <w:rPr>
          <w:b w:val="0"/>
        </w:rPr>
        <w:t xml:space="preserve"> </w:t>
      </w:r>
      <w:r>
        <w:rPr>
          <w:b w:val="0"/>
        </w:rPr>
        <w:t xml:space="preserve">  </w:t>
      </w:r>
      <w:r w:rsidR="002460A3">
        <w:rPr>
          <w:b w:val="0"/>
        </w:rPr>
        <w:t>Issue Resolution</w:t>
      </w:r>
      <w:r>
        <w:rPr>
          <w:b w:val="0"/>
        </w:rPr>
        <w:t xml:space="preserve"> is tasked with clearing inbound orders (such as Move-In Requests) </w:t>
      </w:r>
      <w:r w:rsidR="000C7B83">
        <w:rPr>
          <w:b w:val="0"/>
        </w:rPr>
        <w:t>that are pending due to an exception</w:t>
      </w:r>
      <w:r w:rsidR="5E4422A9">
        <w:rPr>
          <w:b w:val="0"/>
        </w:rPr>
        <w:t>,</w:t>
      </w:r>
      <w:r w:rsidR="000C7B83">
        <w:rPr>
          <w:b w:val="0"/>
        </w:rPr>
        <w:t xml:space="preserve"> </w:t>
      </w:r>
      <w:r>
        <w:rPr>
          <w:b w:val="0"/>
        </w:rPr>
        <w:t xml:space="preserve">as well as analyzing and processing orders that require manual intervention </w:t>
      </w:r>
      <w:r w:rsidRPr="00183989">
        <w:rPr>
          <w:b w:val="0"/>
        </w:rPr>
        <w:t>to resolve errors or exceptions</w:t>
      </w:r>
      <w:r>
        <w:rPr>
          <w:b w:val="0"/>
        </w:rPr>
        <w:t xml:space="preserve">.  </w:t>
      </w:r>
      <w:r w:rsidRPr="00183989">
        <w:rPr>
          <w:b w:val="0"/>
        </w:rPr>
        <w:t xml:space="preserve">An example of an exception that this group might encounter is the receipt of a Move-In Request for a </w:t>
      </w:r>
      <w:bookmarkStart w:id="16" w:name="_Int_cUuxEkpA"/>
      <w:r w:rsidRPr="00183989">
        <w:rPr>
          <w:b w:val="0"/>
        </w:rPr>
        <w:t>premise</w:t>
      </w:r>
      <w:bookmarkEnd w:id="16"/>
      <w:r w:rsidRPr="00183989">
        <w:rPr>
          <w:b w:val="0"/>
        </w:rPr>
        <w:t xml:space="preserve"> where the meter has been previously removed.  In that event, the electronic Move-In Request transaction would fail in CenterPoint Houston’s </w:t>
      </w:r>
      <w:r w:rsidR="00AF079B" w:rsidRPr="00183989">
        <w:rPr>
          <w:b w:val="0"/>
        </w:rPr>
        <w:t>SAP</w:t>
      </w:r>
      <w:r w:rsidRPr="00183989">
        <w:rPr>
          <w:b w:val="0"/>
        </w:rPr>
        <w:t xml:space="preserve">, and an issues resolution analyst is required to review and resolve this issue.  Additionally, this group identifies system issues that may prevent the automated transfer of transactions from the </w:t>
      </w:r>
      <w:r w:rsidR="00AF079B" w:rsidRPr="00183989">
        <w:rPr>
          <w:b w:val="0"/>
        </w:rPr>
        <w:t>SAP</w:t>
      </w:r>
      <w:r w:rsidRPr="00183989">
        <w:rPr>
          <w:b w:val="0"/>
        </w:rPr>
        <w:t xml:space="preserve"> to our field workforce management system.</w:t>
      </w:r>
      <w:r w:rsidR="00D45309">
        <w:rPr>
          <w:b w:val="0"/>
        </w:rPr>
        <w:t xml:space="preserve">  </w:t>
      </w:r>
    </w:p>
    <w:p w14:paraId="72E767EA" w14:textId="77777777" w:rsidR="00787632" w:rsidRPr="00EA4D8C" w:rsidRDefault="00787632" w:rsidP="00787632">
      <w:pPr>
        <w:pStyle w:val="BodyText"/>
        <w:widowControl/>
        <w:pBdr>
          <w:left w:val="none" w:sz="0" w:space="0" w:color="auto"/>
        </w:pBdr>
        <w:ind w:left="720" w:hanging="720"/>
        <w:jc w:val="both"/>
      </w:pPr>
      <w:r>
        <w:t>Q.</w:t>
      </w:r>
      <w:r>
        <w:tab/>
      </w:r>
      <w:r w:rsidRPr="00EA4D8C">
        <w:t>HOW DOES</w:t>
      </w:r>
      <w:r>
        <w:t xml:space="preserve"> CENTERPOINT HOUSTON</w:t>
      </w:r>
      <w:r w:rsidRPr="00EA4D8C">
        <w:t xml:space="preserve"> MEASURE THE EFFICIENCY OF TRANSACTION PROCESSING?</w:t>
      </w:r>
    </w:p>
    <w:p w14:paraId="328A6A9A" w14:textId="63DC82F1" w:rsidR="00787632" w:rsidRDefault="00787632" w:rsidP="00787632">
      <w:pPr>
        <w:pStyle w:val="BodyText"/>
        <w:widowControl/>
        <w:pBdr>
          <w:left w:val="none" w:sz="0" w:space="0" w:color="auto"/>
        </w:pBdr>
        <w:ind w:left="720" w:hanging="720"/>
        <w:jc w:val="both"/>
        <w:rPr>
          <w:b w:val="0"/>
        </w:rPr>
      </w:pPr>
      <w:r>
        <w:rPr>
          <w:b w:val="0"/>
        </w:rPr>
        <w:t>A.</w:t>
      </w:r>
      <w:r>
        <w:rPr>
          <w:b w:val="0"/>
        </w:rPr>
        <w:tab/>
        <w:t xml:space="preserve">The Company reports a variety of transaction-related metrics on a quarterly basis to the Commission as prescribed by </w:t>
      </w:r>
      <w:r w:rsidRPr="00746D1C">
        <w:rPr>
          <w:b w:val="0"/>
          <w:szCs w:val="24"/>
        </w:rPr>
        <w:t xml:space="preserve">16 TAC </w:t>
      </w:r>
      <w:r>
        <w:rPr>
          <w:b w:val="0"/>
        </w:rPr>
        <w:t xml:space="preserve">§ 25.88, </w:t>
      </w:r>
      <w:r w:rsidRPr="00AC5E5A">
        <w:rPr>
          <w:b w:val="0"/>
          <w:i/>
        </w:rPr>
        <w:t xml:space="preserve">Retail Market Performance </w:t>
      </w:r>
      <w:r w:rsidRPr="00AC5E5A">
        <w:rPr>
          <w:b w:val="0"/>
          <w:i/>
        </w:rPr>
        <w:lastRenderedPageBreak/>
        <w:t>Measure Reporting</w:t>
      </w:r>
      <w:r>
        <w:rPr>
          <w:b w:val="0"/>
        </w:rPr>
        <w:t xml:space="preserve">.  CenterPoint Houston’s Performance Measure Reports encompass metrics regarding many facets of transactional activity, including the Company’s </w:t>
      </w:r>
      <w:r w:rsidR="00D97881">
        <w:rPr>
          <w:b w:val="0"/>
        </w:rPr>
        <w:t>Retail Customer</w:t>
      </w:r>
      <w:r>
        <w:rPr>
          <w:b w:val="0"/>
        </w:rPr>
        <w:t xml:space="preserve"> enrollment and meter reading success rates.  </w:t>
      </w:r>
    </w:p>
    <w:p w14:paraId="032873AF" w14:textId="37C32D7F" w:rsidR="00787632" w:rsidRPr="00183989" w:rsidRDefault="7B3AEAD3" w:rsidP="0050306C">
      <w:pPr>
        <w:pStyle w:val="BodyText"/>
        <w:widowControl/>
        <w:pBdr>
          <w:left w:val="none" w:sz="0" w:space="0" w:color="auto"/>
        </w:pBdr>
        <w:ind w:left="720" w:firstLine="720"/>
        <w:jc w:val="both"/>
        <w:rPr>
          <w:b w:val="0"/>
        </w:rPr>
      </w:pPr>
      <w:r w:rsidRPr="00183989">
        <w:rPr>
          <w:b w:val="0"/>
        </w:rPr>
        <w:t xml:space="preserve">ERCOT, independent of any report that CenterPoint Houston provides to the Commission, files a quarterly Performance Measures Report as defined in Project No. 36141, </w:t>
      </w:r>
      <w:r w:rsidRPr="00183989">
        <w:rPr>
          <w:b w:val="0"/>
          <w:i/>
          <w:iCs/>
        </w:rPr>
        <w:t>Retail Performance Measure Reports Pursuant to PUC Subst. R. § 25.88 Beginning 3</w:t>
      </w:r>
      <w:r w:rsidRPr="00183989">
        <w:rPr>
          <w:b w:val="0"/>
          <w:i/>
          <w:iCs/>
          <w:vertAlign w:val="superscript"/>
        </w:rPr>
        <w:t>rd</w:t>
      </w:r>
      <w:r w:rsidRPr="00183989">
        <w:rPr>
          <w:b w:val="0"/>
          <w:i/>
          <w:iCs/>
        </w:rPr>
        <w:t xml:space="preserve"> Quarter 2008</w:t>
      </w:r>
      <w:r w:rsidRPr="00183989">
        <w:rPr>
          <w:b w:val="0"/>
        </w:rPr>
        <w:t xml:space="preserve">, to provide the market and CenterPoint Houston with information concerning the timeliness of the delivery of transactions to the market.  ERCOT analyzes CenterPoint Houston’s transaction data to calculate a compliance percentage according to relevant ERCOT protocols.  Of the market-initiated Move-In Request and Switch Request transactions processed in the TMH in </w:t>
      </w:r>
      <w:r w:rsidR="4ED2D9AC" w:rsidRPr="00183989">
        <w:rPr>
          <w:b w:val="0"/>
        </w:rPr>
        <w:t>2023</w:t>
      </w:r>
      <w:r w:rsidRPr="00183989">
        <w:rPr>
          <w:b w:val="0"/>
        </w:rPr>
        <w:t>, ERCOT determined that CenterPoint Houston responded to these transactions at a 100% accuracy level in accordance with ERCOT protocol standards</w:t>
      </w:r>
      <w:r w:rsidR="4A2D0698" w:rsidRPr="00183989">
        <w:rPr>
          <w:b w:val="0"/>
        </w:rPr>
        <w:t>.</w:t>
      </w:r>
      <w:r w:rsidRPr="00183989">
        <w:rPr>
          <w:b w:val="0"/>
        </w:rPr>
        <w:t xml:space="preserve"> Transaction Management’s efforts to monitor and ensure the efficiency of daily transaction processing, along with timely exception resolution and the manual work-around efforts regarding these Move-In Request and Switch Request transactions, directly improve customer enrollment and meter-reading success rates.</w:t>
      </w:r>
    </w:p>
    <w:p w14:paraId="41EABCF7" w14:textId="3595D862" w:rsidR="00787632" w:rsidRDefault="00787632" w:rsidP="1E8A8C27">
      <w:pPr>
        <w:pStyle w:val="BodyText"/>
        <w:widowControl/>
        <w:pBdr>
          <w:left w:val="none" w:sz="0" w:space="0" w:color="auto"/>
        </w:pBdr>
        <w:ind w:left="720"/>
        <w:jc w:val="both"/>
        <w:rPr>
          <w:b w:val="0"/>
        </w:rPr>
      </w:pPr>
      <w:r>
        <w:tab/>
      </w:r>
      <w:r w:rsidRPr="00183989">
        <w:rPr>
          <w:b w:val="0"/>
        </w:rPr>
        <w:t xml:space="preserve">ERCOT provided quarterly assessments measuring the Company’s monthly performance concerning transactions received by ERCOT from CenterPoint Houston in </w:t>
      </w:r>
      <w:r w:rsidR="467665D4" w:rsidRPr="00183989">
        <w:rPr>
          <w:b w:val="0"/>
        </w:rPr>
        <w:t>20</w:t>
      </w:r>
      <w:r w:rsidR="3348CB89" w:rsidRPr="00183989">
        <w:rPr>
          <w:b w:val="0"/>
        </w:rPr>
        <w:t>23</w:t>
      </w:r>
      <w:r w:rsidR="467665D4" w:rsidRPr="00183989">
        <w:rPr>
          <w:b w:val="0"/>
        </w:rPr>
        <w:t>.</w:t>
      </w:r>
      <w:r w:rsidRPr="00183989">
        <w:rPr>
          <w:b w:val="0"/>
        </w:rPr>
        <w:t xml:space="preserve">  These measurements are summarized in Figure </w:t>
      </w:r>
      <w:r w:rsidR="27DF3BF5" w:rsidRPr="1E8A8C27">
        <w:rPr>
          <w:b w:val="0"/>
        </w:rPr>
        <w:t>1</w:t>
      </w:r>
      <w:r w:rsidR="467665D4" w:rsidRPr="00183989">
        <w:rPr>
          <w:b w:val="0"/>
        </w:rPr>
        <w:t xml:space="preserve"> below.</w:t>
      </w:r>
      <w:r w:rsidR="1C4D214A">
        <w:rPr>
          <w:b w:val="0"/>
        </w:rPr>
        <w:t xml:space="preserve"> </w:t>
      </w:r>
    </w:p>
    <w:p w14:paraId="65603901" w14:textId="110F22AD" w:rsidR="00787632" w:rsidRPr="006109F3" w:rsidRDefault="00787632" w:rsidP="002220E3">
      <w:pPr>
        <w:pStyle w:val="BodyText"/>
        <w:keepNext/>
        <w:keepLines/>
        <w:widowControl/>
        <w:pBdr>
          <w:left w:val="none" w:sz="0" w:space="0" w:color="auto"/>
        </w:pBdr>
        <w:spacing w:line="240" w:lineRule="auto"/>
        <w:ind w:left="720" w:hanging="720"/>
        <w:jc w:val="center"/>
      </w:pPr>
      <w:r>
        <w:lastRenderedPageBreak/>
        <w:t xml:space="preserve">Figure </w:t>
      </w:r>
      <w:r w:rsidR="26D0983C">
        <w:t>1</w:t>
      </w:r>
    </w:p>
    <w:p w14:paraId="0CB1F4EF" w14:textId="77777777" w:rsidR="00306EDA" w:rsidRPr="006109F3" w:rsidRDefault="00306EDA" w:rsidP="002220E3">
      <w:pPr>
        <w:pStyle w:val="BodyText"/>
        <w:keepNext/>
        <w:keepLines/>
        <w:widowControl/>
        <w:pBdr>
          <w:left w:val="none" w:sz="0" w:space="0" w:color="auto"/>
        </w:pBdr>
        <w:spacing w:line="240" w:lineRule="auto"/>
        <w:ind w:left="720" w:hanging="720"/>
        <w:jc w:val="center"/>
      </w:pPr>
    </w:p>
    <w:tbl>
      <w:tblPr>
        <w:tblW w:w="0" w:type="auto"/>
        <w:tblInd w:w="823" w:type="dxa"/>
        <w:tblLook w:val="04A0" w:firstRow="1" w:lastRow="0" w:firstColumn="1" w:lastColumn="0" w:noHBand="0" w:noVBand="1"/>
      </w:tblPr>
      <w:tblGrid>
        <w:gridCol w:w="2583"/>
        <w:gridCol w:w="965"/>
        <w:gridCol w:w="1369"/>
        <w:gridCol w:w="1437"/>
        <w:gridCol w:w="1453"/>
      </w:tblGrid>
      <w:tr w:rsidR="00787632" w:rsidRPr="00BD25C1" w14:paraId="022C939A" w14:textId="77777777" w:rsidTr="00A45675">
        <w:trPr>
          <w:trHeight w:val="675"/>
        </w:trPr>
        <w:tc>
          <w:tcPr>
            <w:tcW w:w="3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77D413" w14:textId="77777777" w:rsidR="00787632" w:rsidRPr="00306EDA" w:rsidRDefault="00787632" w:rsidP="002220E3">
            <w:pPr>
              <w:keepNext/>
              <w:keepLines/>
              <w:jc w:val="center"/>
              <w:rPr>
                <w:b/>
                <w:bCs/>
                <w:smallCaps/>
                <w:sz w:val="18"/>
                <w:szCs w:val="18"/>
              </w:rPr>
            </w:pPr>
            <w:r w:rsidRPr="00306EDA">
              <w:rPr>
                <w:b/>
                <w:sz w:val="18"/>
                <w:szCs w:val="18"/>
              </w:rPr>
              <w:t>Transaction Description</w:t>
            </w:r>
          </w:p>
        </w:tc>
        <w:tc>
          <w:tcPr>
            <w:tcW w:w="99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0FA849" w14:textId="77777777" w:rsidR="00787632" w:rsidRPr="00306EDA" w:rsidRDefault="00787632" w:rsidP="002220E3">
            <w:pPr>
              <w:keepNext/>
              <w:keepLines/>
              <w:jc w:val="center"/>
              <w:rPr>
                <w:b/>
                <w:bCs/>
                <w:smallCaps/>
                <w:sz w:val="18"/>
                <w:szCs w:val="18"/>
              </w:rPr>
            </w:pPr>
            <w:r w:rsidRPr="00306EDA">
              <w:rPr>
                <w:b/>
                <w:sz w:val="18"/>
                <w:szCs w:val="18"/>
              </w:rPr>
              <w:t>Measure</w:t>
            </w:r>
          </w:p>
        </w:tc>
        <w:tc>
          <w:tcPr>
            <w:tcW w:w="14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2B7A1A7" w14:textId="77777777" w:rsidR="00787632" w:rsidRPr="00306EDA" w:rsidRDefault="00787632" w:rsidP="002220E3">
            <w:pPr>
              <w:keepNext/>
              <w:keepLines/>
              <w:jc w:val="center"/>
              <w:rPr>
                <w:b/>
                <w:bCs/>
                <w:smallCaps/>
                <w:sz w:val="18"/>
                <w:szCs w:val="18"/>
              </w:rPr>
            </w:pPr>
            <w:r w:rsidRPr="00306EDA">
              <w:rPr>
                <w:b/>
                <w:sz w:val="18"/>
                <w:szCs w:val="18"/>
              </w:rPr>
              <w:t>Transaction Quantity (Annual)</w:t>
            </w:r>
          </w:p>
        </w:tc>
        <w:tc>
          <w:tcPr>
            <w:tcW w:w="15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9C17929" w14:textId="77777777" w:rsidR="00787632" w:rsidRPr="00306EDA" w:rsidRDefault="00787632" w:rsidP="002220E3">
            <w:pPr>
              <w:keepNext/>
              <w:keepLines/>
              <w:jc w:val="center"/>
              <w:rPr>
                <w:b/>
                <w:bCs/>
                <w:smallCaps/>
                <w:sz w:val="18"/>
                <w:szCs w:val="18"/>
              </w:rPr>
            </w:pPr>
            <w:r w:rsidRPr="00306EDA">
              <w:rPr>
                <w:b/>
                <w:sz w:val="18"/>
                <w:szCs w:val="18"/>
              </w:rPr>
              <w:t>Transaction Percentage Within Protocol</w:t>
            </w:r>
          </w:p>
        </w:tc>
        <w:tc>
          <w:tcPr>
            <w:tcW w:w="152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E51C62D" w14:textId="77777777" w:rsidR="00787632" w:rsidRPr="00306EDA" w:rsidRDefault="00787632" w:rsidP="002220E3">
            <w:pPr>
              <w:keepNext/>
              <w:keepLines/>
              <w:jc w:val="center"/>
              <w:rPr>
                <w:b/>
                <w:bCs/>
                <w:smallCaps/>
                <w:sz w:val="18"/>
                <w:szCs w:val="18"/>
              </w:rPr>
            </w:pPr>
            <w:r w:rsidRPr="00306EDA">
              <w:rPr>
                <w:b/>
                <w:sz w:val="18"/>
                <w:szCs w:val="18"/>
              </w:rPr>
              <w:t>Protocol Performance Requirement</w:t>
            </w:r>
          </w:p>
        </w:tc>
      </w:tr>
      <w:tr w:rsidR="00787632" w:rsidRPr="00B4177C" w14:paraId="28D89678"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032739F7" w14:textId="77777777" w:rsidR="00787632" w:rsidRPr="00306EDA" w:rsidRDefault="00787632" w:rsidP="002220E3">
            <w:pPr>
              <w:keepNext/>
              <w:keepLines/>
              <w:rPr>
                <w:bCs/>
                <w:smallCaps/>
                <w:sz w:val="18"/>
                <w:szCs w:val="18"/>
              </w:rPr>
            </w:pPr>
            <w:r w:rsidRPr="00306EDA">
              <w:rPr>
                <w:sz w:val="18"/>
                <w:szCs w:val="18"/>
              </w:rPr>
              <w:t>Switch Notification Response</w:t>
            </w:r>
          </w:p>
        </w:tc>
        <w:tc>
          <w:tcPr>
            <w:tcW w:w="990" w:type="dxa"/>
            <w:tcBorders>
              <w:top w:val="single" w:sz="4" w:space="0" w:color="auto"/>
              <w:left w:val="nil"/>
              <w:bottom w:val="single" w:sz="4" w:space="0" w:color="auto"/>
              <w:right w:val="single" w:sz="4" w:space="0" w:color="auto"/>
            </w:tcBorders>
            <w:shd w:val="clear" w:color="auto" w:fill="auto"/>
            <w:vAlign w:val="center"/>
          </w:tcPr>
          <w:p w14:paraId="12E762FF" w14:textId="77777777" w:rsidR="00787632" w:rsidRPr="00306EDA" w:rsidRDefault="00787632" w:rsidP="002220E3">
            <w:pPr>
              <w:keepNext/>
              <w:keepLines/>
              <w:rPr>
                <w:bCs/>
                <w:smallCaps/>
                <w:sz w:val="18"/>
                <w:szCs w:val="18"/>
                <w:highlight w:val="yellow"/>
              </w:rPr>
            </w:pPr>
            <w:r w:rsidRPr="00306EDA">
              <w:rPr>
                <w:sz w:val="18"/>
                <w:szCs w:val="18"/>
              </w:rPr>
              <w:t>B-1a)</w:t>
            </w:r>
          </w:p>
        </w:tc>
        <w:tc>
          <w:tcPr>
            <w:tcW w:w="1440" w:type="dxa"/>
            <w:tcBorders>
              <w:top w:val="single" w:sz="4" w:space="0" w:color="auto"/>
              <w:left w:val="nil"/>
              <w:bottom w:val="single" w:sz="4" w:space="0" w:color="auto"/>
              <w:right w:val="single" w:sz="4" w:space="0" w:color="auto"/>
            </w:tcBorders>
            <w:shd w:val="clear" w:color="auto" w:fill="auto"/>
            <w:vAlign w:val="center"/>
          </w:tcPr>
          <w:p w14:paraId="51CD85D5" w14:textId="298B199A" w:rsidR="00787632" w:rsidRPr="00306EDA" w:rsidRDefault="00852B0B" w:rsidP="002220E3">
            <w:pPr>
              <w:keepNext/>
              <w:keepLines/>
              <w:jc w:val="right"/>
              <w:rPr>
                <w:bCs/>
                <w:smallCaps/>
                <w:sz w:val="18"/>
                <w:szCs w:val="18"/>
                <w:highlight w:val="yellow"/>
              </w:rPr>
            </w:pPr>
            <w:r w:rsidRPr="00306EDA">
              <w:rPr>
                <w:sz w:val="18"/>
                <w:szCs w:val="18"/>
              </w:rPr>
              <w:t>443,632</w:t>
            </w:r>
          </w:p>
        </w:tc>
        <w:tc>
          <w:tcPr>
            <w:tcW w:w="1530" w:type="dxa"/>
            <w:tcBorders>
              <w:top w:val="single" w:sz="4" w:space="0" w:color="auto"/>
              <w:left w:val="nil"/>
              <w:bottom w:val="single" w:sz="4" w:space="0" w:color="auto"/>
              <w:right w:val="single" w:sz="4" w:space="0" w:color="auto"/>
            </w:tcBorders>
            <w:shd w:val="clear" w:color="auto" w:fill="auto"/>
            <w:vAlign w:val="center"/>
          </w:tcPr>
          <w:p w14:paraId="54940D3F" w14:textId="77777777" w:rsidR="00787632" w:rsidRPr="00306EDA" w:rsidRDefault="00787632" w:rsidP="002220E3">
            <w:pPr>
              <w:keepNext/>
              <w:keepLines/>
              <w:jc w:val="center"/>
              <w:rPr>
                <w:bCs/>
                <w:smallCaps/>
                <w:sz w:val="18"/>
                <w:szCs w:val="18"/>
                <w:highlight w:val="yellow"/>
              </w:rPr>
            </w:pPr>
            <w:r w:rsidRPr="00306EDA">
              <w:rPr>
                <w:sz w:val="18"/>
                <w:szCs w:val="18"/>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4ECCFB7C" w14:textId="77777777" w:rsidR="00787632" w:rsidRPr="00306EDA" w:rsidRDefault="00787632" w:rsidP="002220E3">
            <w:pPr>
              <w:keepNext/>
              <w:keepLines/>
              <w:jc w:val="center"/>
              <w:rPr>
                <w:bCs/>
                <w:smallCaps/>
                <w:sz w:val="18"/>
                <w:szCs w:val="18"/>
                <w:highlight w:val="yellow"/>
              </w:rPr>
            </w:pPr>
            <w:r w:rsidRPr="00306EDA">
              <w:rPr>
                <w:sz w:val="18"/>
                <w:szCs w:val="18"/>
              </w:rPr>
              <w:t>98%</w:t>
            </w:r>
          </w:p>
        </w:tc>
      </w:tr>
      <w:tr w:rsidR="00787632" w:rsidRPr="00B4177C" w14:paraId="7B2B941E"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18114BF1" w14:textId="77777777" w:rsidR="00787632" w:rsidRPr="00306EDA" w:rsidRDefault="00787632" w:rsidP="002220E3">
            <w:pPr>
              <w:keepNext/>
              <w:keepLines/>
              <w:rPr>
                <w:bCs/>
                <w:smallCaps/>
                <w:sz w:val="18"/>
                <w:szCs w:val="18"/>
              </w:rPr>
            </w:pPr>
            <w:r w:rsidRPr="00306EDA">
              <w:rPr>
                <w:sz w:val="18"/>
                <w:szCs w:val="18"/>
              </w:rPr>
              <w:t>Historical Usage Request</w:t>
            </w:r>
          </w:p>
        </w:tc>
        <w:tc>
          <w:tcPr>
            <w:tcW w:w="990" w:type="dxa"/>
            <w:tcBorders>
              <w:top w:val="single" w:sz="4" w:space="0" w:color="auto"/>
              <w:left w:val="nil"/>
              <w:bottom w:val="single" w:sz="4" w:space="0" w:color="auto"/>
              <w:right w:val="single" w:sz="4" w:space="0" w:color="auto"/>
            </w:tcBorders>
            <w:shd w:val="clear" w:color="auto" w:fill="auto"/>
            <w:vAlign w:val="center"/>
          </w:tcPr>
          <w:p w14:paraId="6A9B27ED" w14:textId="77777777" w:rsidR="00787632" w:rsidRPr="00306EDA" w:rsidRDefault="00787632" w:rsidP="002220E3">
            <w:pPr>
              <w:keepNext/>
              <w:keepLines/>
              <w:rPr>
                <w:bCs/>
                <w:smallCaps/>
                <w:sz w:val="18"/>
                <w:szCs w:val="18"/>
                <w:highlight w:val="yellow"/>
              </w:rPr>
            </w:pPr>
            <w:r w:rsidRPr="00306EDA">
              <w:rPr>
                <w:sz w:val="18"/>
                <w:szCs w:val="18"/>
              </w:rPr>
              <w:t>B-2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D57A4F5" w14:textId="49219B04" w:rsidR="00787632" w:rsidRPr="00306EDA" w:rsidRDefault="00852B0B" w:rsidP="002220E3">
            <w:pPr>
              <w:keepNext/>
              <w:keepLines/>
              <w:jc w:val="right"/>
              <w:rPr>
                <w:bCs/>
                <w:smallCaps/>
                <w:sz w:val="18"/>
                <w:szCs w:val="18"/>
                <w:highlight w:val="yellow"/>
              </w:rPr>
            </w:pPr>
            <w:r w:rsidRPr="00306EDA">
              <w:rPr>
                <w:sz w:val="18"/>
                <w:szCs w:val="18"/>
              </w:rPr>
              <w:t>418,973</w:t>
            </w:r>
          </w:p>
        </w:tc>
        <w:tc>
          <w:tcPr>
            <w:tcW w:w="1530" w:type="dxa"/>
            <w:tcBorders>
              <w:top w:val="single" w:sz="4" w:space="0" w:color="auto"/>
              <w:left w:val="nil"/>
              <w:bottom w:val="single" w:sz="4" w:space="0" w:color="auto"/>
              <w:right w:val="single" w:sz="4" w:space="0" w:color="auto"/>
            </w:tcBorders>
            <w:shd w:val="clear" w:color="auto" w:fill="auto"/>
            <w:vAlign w:val="center"/>
          </w:tcPr>
          <w:p w14:paraId="0660407F" w14:textId="77777777" w:rsidR="00787632" w:rsidRPr="00306EDA" w:rsidRDefault="00787632" w:rsidP="002220E3">
            <w:pPr>
              <w:keepNext/>
              <w:keepLines/>
              <w:jc w:val="center"/>
              <w:rPr>
                <w:bCs/>
                <w:smallCaps/>
                <w:sz w:val="18"/>
                <w:szCs w:val="18"/>
                <w:highlight w:val="yellow"/>
              </w:rPr>
            </w:pPr>
            <w:r w:rsidRPr="00306EDA">
              <w:rPr>
                <w:sz w:val="18"/>
                <w:szCs w:val="18"/>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3596F46C" w14:textId="77777777" w:rsidR="00787632" w:rsidRPr="00306EDA" w:rsidRDefault="00787632" w:rsidP="002220E3">
            <w:pPr>
              <w:keepNext/>
              <w:keepLines/>
              <w:jc w:val="center"/>
              <w:rPr>
                <w:bCs/>
                <w:smallCaps/>
                <w:sz w:val="18"/>
                <w:szCs w:val="18"/>
                <w:highlight w:val="yellow"/>
              </w:rPr>
            </w:pPr>
            <w:r w:rsidRPr="00306EDA">
              <w:rPr>
                <w:sz w:val="18"/>
                <w:szCs w:val="18"/>
              </w:rPr>
              <w:t>98%</w:t>
            </w:r>
          </w:p>
        </w:tc>
      </w:tr>
      <w:tr w:rsidR="00787632" w:rsidRPr="00B4177C" w14:paraId="2B38430A"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51DE4EA4" w14:textId="77777777" w:rsidR="00787632" w:rsidRPr="00306EDA" w:rsidRDefault="00787632" w:rsidP="002220E3">
            <w:pPr>
              <w:keepNext/>
              <w:keepLines/>
              <w:rPr>
                <w:bCs/>
                <w:smallCaps/>
                <w:sz w:val="18"/>
                <w:szCs w:val="18"/>
              </w:rPr>
            </w:pPr>
            <w:r w:rsidRPr="00306EDA">
              <w:rPr>
                <w:sz w:val="18"/>
                <w:szCs w:val="18"/>
              </w:rPr>
              <w:t>Move-In Notification Response with No Permit Requirement</w:t>
            </w:r>
          </w:p>
        </w:tc>
        <w:tc>
          <w:tcPr>
            <w:tcW w:w="990" w:type="dxa"/>
            <w:tcBorders>
              <w:top w:val="single" w:sz="4" w:space="0" w:color="auto"/>
              <w:left w:val="nil"/>
              <w:bottom w:val="single" w:sz="4" w:space="0" w:color="auto"/>
              <w:right w:val="single" w:sz="4" w:space="0" w:color="auto"/>
            </w:tcBorders>
            <w:shd w:val="clear" w:color="auto" w:fill="auto"/>
            <w:vAlign w:val="center"/>
          </w:tcPr>
          <w:p w14:paraId="587BBA46" w14:textId="77777777" w:rsidR="00787632" w:rsidRPr="00306EDA" w:rsidRDefault="00787632" w:rsidP="002220E3">
            <w:pPr>
              <w:keepNext/>
              <w:keepLines/>
              <w:rPr>
                <w:bCs/>
                <w:smallCaps/>
                <w:sz w:val="18"/>
                <w:szCs w:val="18"/>
                <w:highlight w:val="yellow"/>
              </w:rPr>
            </w:pPr>
            <w:r w:rsidRPr="00306EDA">
              <w:rPr>
                <w:sz w:val="18"/>
                <w:szCs w:val="18"/>
              </w:rPr>
              <w:t>B-1b)</w:t>
            </w:r>
          </w:p>
        </w:tc>
        <w:tc>
          <w:tcPr>
            <w:tcW w:w="1440" w:type="dxa"/>
            <w:tcBorders>
              <w:top w:val="single" w:sz="4" w:space="0" w:color="auto"/>
              <w:left w:val="nil"/>
              <w:bottom w:val="single" w:sz="4" w:space="0" w:color="auto"/>
              <w:right w:val="single" w:sz="4" w:space="0" w:color="auto"/>
            </w:tcBorders>
            <w:shd w:val="clear" w:color="auto" w:fill="auto"/>
            <w:vAlign w:val="center"/>
          </w:tcPr>
          <w:p w14:paraId="1DA60153" w14:textId="1D946864" w:rsidR="00787632" w:rsidRPr="00306EDA" w:rsidRDefault="00852B0B" w:rsidP="002220E3">
            <w:pPr>
              <w:keepNext/>
              <w:keepLines/>
              <w:jc w:val="right"/>
              <w:rPr>
                <w:bCs/>
                <w:smallCaps/>
                <w:sz w:val="18"/>
                <w:szCs w:val="18"/>
                <w:highlight w:val="yellow"/>
              </w:rPr>
            </w:pPr>
            <w:r w:rsidRPr="00306EDA">
              <w:rPr>
                <w:sz w:val="18"/>
                <w:szCs w:val="18"/>
              </w:rPr>
              <w:t>489</w:t>
            </w:r>
            <w:r w:rsidR="00093210" w:rsidRPr="00306EDA">
              <w:rPr>
                <w:sz w:val="18"/>
                <w:szCs w:val="18"/>
              </w:rPr>
              <w:t>,799</w:t>
            </w:r>
          </w:p>
        </w:tc>
        <w:tc>
          <w:tcPr>
            <w:tcW w:w="1530" w:type="dxa"/>
            <w:tcBorders>
              <w:top w:val="single" w:sz="4" w:space="0" w:color="auto"/>
              <w:left w:val="nil"/>
              <w:bottom w:val="single" w:sz="4" w:space="0" w:color="auto"/>
              <w:right w:val="single" w:sz="4" w:space="0" w:color="auto"/>
            </w:tcBorders>
            <w:shd w:val="clear" w:color="auto" w:fill="auto"/>
            <w:vAlign w:val="center"/>
          </w:tcPr>
          <w:p w14:paraId="048D843B" w14:textId="77777777" w:rsidR="00787632" w:rsidRPr="00306EDA" w:rsidRDefault="00787632" w:rsidP="002220E3">
            <w:pPr>
              <w:keepNext/>
              <w:keepLines/>
              <w:jc w:val="center"/>
              <w:rPr>
                <w:bCs/>
                <w:smallCaps/>
                <w:sz w:val="18"/>
                <w:szCs w:val="18"/>
                <w:highlight w:val="yellow"/>
              </w:rPr>
            </w:pPr>
            <w:r w:rsidRPr="00306EDA">
              <w:rPr>
                <w:sz w:val="18"/>
                <w:szCs w:val="18"/>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44166BF4" w14:textId="77777777" w:rsidR="00787632" w:rsidRPr="00306EDA" w:rsidRDefault="00787632" w:rsidP="002220E3">
            <w:pPr>
              <w:keepNext/>
              <w:keepLines/>
              <w:jc w:val="center"/>
              <w:rPr>
                <w:bCs/>
                <w:smallCaps/>
                <w:sz w:val="18"/>
                <w:szCs w:val="18"/>
                <w:highlight w:val="yellow"/>
              </w:rPr>
            </w:pPr>
            <w:r w:rsidRPr="00306EDA">
              <w:rPr>
                <w:sz w:val="18"/>
                <w:szCs w:val="18"/>
              </w:rPr>
              <w:t>98%</w:t>
            </w:r>
          </w:p>
        </w:tc>
      </w:tr>
      <w:tr w:rsidR="00787632" w:rsidRPr="00B4177C" w14:paraId="79AC642F"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2870907B" w14:textId="77777777" w:rsidR="00787632" w:rsidRPr="00306EDA" w:rsidRDefault="00787632" w:rsidP="002220E3">
            <w:pPr>
              <w:keepNext/>
              <w:keepLines/>
              <w:rPr>
                <w:bCs/>
                <w:smallCaps/>
                <w:sz w:val="18"/>
                <w:szCs w:val="18"/>
              </w:rPr>
            </w:pPr>
            <w:r w:rsidRPr="00306EDA">
              <w:rPr>
                <w:sz w:val="18"/>
                <w:szCs w:val="18"/>
              </w:rPr>
              <w:t>Historical Usage Request</w:t>
            </w:r>
          </w:p>
        </w:tc>
        <w:tc>
          <w:tcPr>
            <w:tcW w:w="990" w:type="dxa"/>
            <w:tcBorders>
              <w:top w:val="single" w:sz="4" w:space="0" w:color="auto"/>
              <w:left w:val="nil"/>
              <w:bottom w:val="single" w:sz="4" w:space="0" w:color="auto"/>
              <w:right w:val="single" w:sz="4" w:space="0" w:color="auto"/>
            </w:tcBorders>
            <w:shd w:val="clear" w:color="auto" w:fill="auto"/>
            <w:vAlign w:val="center"/>
          </w:tcPr>
          <w:p w14:paraId="01637ADB" w14:textId="77777777" w:rsidR="00787632" w:rsidRPr="00306EDA" w:rsidRDefault="00787632" w:rsidP="002220E3">
            <w:pPr>
              <w:keepNext/>
              <w:keepLines/>
              <w:rPr>
                <w:bCs/>
                <w:smallCaps/>
                <w:sz w:val="18"/>
                <w:szCs w:val="18"/>
                <w:highlight w:val="yellow"/>
              </w:rPr>
            </w:pPr>
            <w:r w:rsidRPr="00306EDA">
              <w:rPr>
                <w:sz w:val="18"/>
                <w:szCs w:val="18"/>
              </w:rPr>
              <w:t>B-2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06CD190" w14:textId="06EFB899" w:rsidR="00787632" w:rsidRPr="00306EDA" w:rsidRDefault="00093210" w:rsidP="002220E3">
            <w:pPr>
              <w:keepNext/>
              <w:keepLines/>
              <w:jc w:val="right"/>
              <w:rPr>
                <w:bCs/>
                <w:smallCaps/>
                <w:sz w:val="18"/>
                <w:szCs w:val="18"/>
                <w:highlight w:val="yellow"/>
              </w:rPr>
            </w:pPr>
            <w:r w:rsidRPr="00306EDA">
              <w:rPr>
                <w:sz w:val="18"/>
                <w:szCs w:val="18"/>
              </w:rPr>
              <w:t>402,851</w:t>
            </w:r>
          </w:p>
        </w:tc>
        <w:tc>
          <w:tcPr>
            <w:tcW w:w="1530" w:type="dxa"/>
            <w:tcBorders>
              <w:top w:val="single" w:sz="4" w:space="0" w:color="auto"/>
              <w:left w:val="nil"/>
              <w:bottom w:val="single" w:sz="4" w:space="0" w:color="auto"/>
              <w:right w:val="single" w:sz="4" w:space="0" w:color="auto"/>
            </w:tcBorders>
            <w:shd w:val="clear" w:color="auto" w:fill="auto"/>
            <w:vAlign w:val="center"/>
          </w:tcPr>
          <w:p w14:paraId="49B06F62" w14:textId="77777777" w:rsidR="00787632" w:rsidRPr="00306EDA" w:rsidRDefault="00787632" w:rsidP="002220E3">
            <w:pPr>
              <w:keepNext/>
              <w:keepLines/>
              <w:jc w:val="center"/>
              <w:rPr>
                <w:bCs/>
                <w:smallCaps/>
                <w:sz w:val="18"/>
                <w:szCs w:val="18"/>
                <w:highlight w:val="yellow"/>
              </w:rPr>
            </w:pPr>
            <w:r w:rsidRPr="00306EDA">
              <w:rPr>
                <w:sz w:val="18"/>
                <w:szCs w:val="18"/>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10ADE164" w14:textId="77777777" w:rsidR="00787632" w:rsidRPr="00306EDA" w:rsidRDefault="00787632" w:rsidP="002220E3">
            <w:pPr>
              <w:keepNext/>
              <w:keepLines/>
              <w:jc w:val="center"/>
              <w:rPr>
                <w:bCs/>
                <w:smallCaps/>
                <w:sz w:val="18"/>
                <w:szCs w:val="18"/>
                <w:highlight w:val="yellow"/>
              </w:rPr>
            </w:pPr>
            <w:r w:rsidRPr="00306EDA">
              <w:rPr>
                <w:sz w:val="18"/>
                <w:szCs w:val="18"/>
              </w:rPr>
              <w:t>98%</w:t>
            </w:r>
          </w:p>
        </w:tc>
      </w:tr>
      <w:tr w:rsidR="00787632" w:rsidRPr="00B4177C" w14:paraId="11658DF9"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658C5B61" w14:textId="77777777" w:rsidR="00787632" w:rsidRPr="00306EDA" w:rsidRDefault="00787632" w:rsidP="002220E3">
            <w:pPr>
              <w:keepNext/>
              <w:keepLines/>
              <w:rPr>
                <w:bCs/>
                <w:smallCaps/>
                <w:sz w:val="18"/>
                <w:szCs w:val="18"/>
              </w:rPr>
            </w:pPr>
            <w:r w:rsidRPr="00306EDA">
              <w:rPr>
                <w:sz w:val="18"/>
                <w:szCs w:val="18"/>
              </w:rPr>
              <w:t>Move-In Notification Response with No Permit Requirement</w:t>
            </w:r>
          </w:p>
        </w:tc>
        <w:tc>
          <w:tcPr>
            <w:tcW w:w="990" w:type="dxa"/>
            <w:tcBorders>
              <w:top w:val="single" w:sz="4" w:space="0" w:color="auto"/>
              <w:left w:val="nil"/>
              <w:bottom w:val="single" w:sz="4" w:space="0" w:color="auto"/>
              <w:right w:val="single" w:sz="4" w:space="0" w:color="auto"/>
            </w:tcBorders>
            <w:shd w:val="clear" w:color="auto" w:fill="auto"/>
            <w:vAlign w:val="center"/>
          </w:tcPr>
          <w:p w14:paraId="549A7F44" w14:textId="77777777" w:rsidR="00787632" w:rsidRPr="00306EDA" w:rsidRDefault="00787632" w:rsidP="002220E3">
            <w:pPr>
              <w:keepNext/>
              <w:keepLines/>
              <w:rPr>
                <w:bCs/>
                <w:smallCaps/>
                <w:sz w:val="18"/>
                <w:szCs w:val="18"/>
                <w:highlight w:val="yellow"/>
              </w:rPr>
            </w:pPr>
            <w:r w:rsidRPr="00306EDA">
              <w:rPr>
                <w:sz w:val="18"/>
                <w:szCs w:val="18"/>
              </w:rPr>
              <w:t>B-1c)</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11242D" w14:textId="2A0587C0" w:rsidR="00787632" w:rsidRPr="00306EDA" w:rsidRDefault="00991F15" w:rsidP="002220E3">
            <w:pPr>
              <w:keepNext/>
              <w:keepLines/>
              <w:jc w:val="right"/>
              <w:rPr>
                <w:bCs/>
                <w:smallCaps/>
                <w:sz w:val="18"/>
                <w:szCs w:val="18"/>
                <w:highlight w:val="yellow"/>
              </w:rPr>
            </w:pPr>
            <w:r w:rsidRPr="00306EDA">
              <w:rPr>
                <w:sz w:val="18"/>
                <w:szCs w:val="18"/>
              </w:rPr>
              <w:t>651,993</w:t>
            </w:r>
          </w:p>
        </w:tc>
        <w:tc>
          <w:tcPr>
            <w:tcW w:w="1530" w:type="dxa"/>
            <w:tcBorders>
              <w:top w:val="single" w:sz="4" w:space="0" w:color="auto"/>
              <w:left w:val="nil"/>
              <w:bottom w:val="single" w:sz="4" w:space="0" w:color="auto"/>
              <w:right w:val="single" w:sz="4" w:space="0" w:color="auto"/>
            </w:tcBorders>
            <w:shd w:val="clear" w:color="auto" w:fill="auto"/>
            <w:vAlign w:val="center"/>
          </w:tcPr>
          <w:p w14:paraId="1AA5AF56" w14:textId="77777777" w:rsidR="00787632" w:rsidRPr="00306EDA" w:rsidRDefault="00787632" w:rsidP="002220E3">
            <w:pPr>
              <w:keepNext/>
              <w:keepLines/>
              <w:jc w:val="center"/>
              <w:rPr>
                <w:bCs/>
                <w:smallCaps/>
                <w:sz w:val="18"/>
                <w:szCs w:val="18"/>
                <w:highlight w:val="yellow"/>
              </w:rPr>
            </w:pPr>
            <w:r w:rsidRPr="00306EDA">
              <w:rPr>
                <w:sz w:val="18"/>
                <w:szCs w:val="18"/>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614439AD" w14:textId="77777777" w:rsidR="00787632" w:rsidRPr="00306EDA" w:rsidRDefault="00787632" w:rsidP="002220E3">
            <w:pPr>
              <w:keepNext/>
              <w:keepLines/>
              <w:jc w:val="center"/>
              <w:rPr>
                <w:bCs/>
                <w:smallCaps/>
                <w:sz w:val="18"/>
                <w:szCs w:val="18"/>
                <w:highlight w:val="yellow"/>
              </w:rPr>
            </w:pPr>
            <w:r w:rsidRPr="00306EDA">
              <w:rPr>
                <w:sz w:val="18"/>
                <w:szCs w:val="18"/>
              </w:rPr>
              <w:t>98%</w:t>
            </w:r>
          </w:p>
        </w:tc>
      </w:tr>
      <w:tr w:rsidR="00787632" w:rsidRPr="00B4177C" w14:paraId="5654C7E4"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0004410F" w14:textId="77777777" w:rsidR="00787632" w:rsidRPr="00306EDA" w:rsidRDefault="00787632" w:rsidP="002220E3">
            <w:pPr>
              <w:keepNext/>
              <w:keepLines/>
              <w:rPr>
                <w:bCs/>
                <w:smallCaps/>
                <w:sz w:val="18"/>
                <w:szCs w:val="18"/>
              </w:rPr>
            </w:pPr>
            <w:r w:rsidRPr="00306EDA">
              <w:rPr>
                <w:sz w:val="18"/>
                <w:szCs w:val="18"/>
              </w:rPr>
              <w:t>Historical Usage Request</w:t>
            </w:r>
          </w:p>
        </w:tc>
        <w:tc>
          <w:tcPr>
            <w:tcW w:w="990" w:type="dxa"/>
            <w:tcBorders>
              <w:top w:val="single" w:sz="4" w:space="0" w:color="auto"/>
              <w:left w:val="nil"/>
              <w:bottom w:val="single" w:sz="4" w:space="0" w:color="auto"/>
              <w:right w:val="single" w:sz="4" w:space="0" w:color="auto"/>
            </w:tcBorders>
            <w:shd w:val="clear" w:color="auto" w:fill="auto"/>
            <w:vAlign w:val="center"/>
          </w:tcPr>
          <w:p w14:paraId="3E408762" w14:textId="77777777" w:rsidR="00787632" w:rsidRPr="00306EDA" w:rsidRDefault="00787632" w:rsidP="002220E3">
            <w:pPr>
              <w:keepNext/>
              <w:keepLines/>
              <w:rPr>
                <w:bCs/>
                <w:smallCaps/>
                <w:sz w:val="18"/>
                <w:szCs w:val="18"/>
                <w:highlight w:val="yellow"/>
              </w:rPr>
            </w:pPr>
            <w:r w:rsidRPr="00306EDA">
              <w:rPr>
                <w:sz w:val="18"/>
                <w:szCs w:val="18"/>
              </w:rPr>
              <w:t>B-1c)</w:t>
            </w:r>
          </w:p>
        </w:tc>
        <w:tc>
          <w:tcPr>
            <w:tcW w:w="1440" w:type="dxa"/>
            <w:tcBorders>
              <w:top w:val="single" w:sz="4" w:space="0" w:color="auto"/>
              <w:left w:val="nil"/>
              <w:bottom w:val="single" w:sz="4" w:space="0" w:color="auto"/>
              <w:right w:val="single" w:sz="4" w:space="0" w:color="auto"/>
            </w:tcBorders>
            <w:shd w:val="clear" w:color="auto" w:fill="auto"/>
            <w:vAlign w:val="center"/>
          </w:tcPr>
          <w:p w14:paraId="4C969783" w14:textId="5B200E90" w:rsidR="00787632" w:rsidRPr="00306EDA" w:rsidRDefault="002F62D2" w:rsidP="002220E3">
            <w:pPr>
              <w:keepNext/>
              <w:keepLines/>
              <w:jc w:val="right"/>
              <w:rPr>
                <w:bCs/>
                <w:smallCaps/>
                <w:sz w:val="18"/>
                <w:szCs w:val="18"/>
                <w:highlight w:val="yellow"/>
              </w:rPr>
            </w:pPr>
            <w:r w:rsidRPr="00306EDA">
              <w:rPr>
                <w:sz w:val="18"/>
                <w:szCs w:val="18"/>
              </w:rPr>
              <w:t>597</w:t>
            </w:r>
            <w:r w:rsidR="00A054C4" w:rsidRPr="00306EDA">
              <w:rPr>
                <w:sz w:val="18"/>
                <w:szCs w:val="18"/>
              </w:rPr>
              <w:t>,682</w:t>
            </w:r>
          </w:p>
        </w:tc>
        <w:tc>
          <w:tcPr>
            <w:tcW w:w="1530" w:type="dxa"/>
            <w:tcBorders>
              <w:top w:val="single" w:sz="4" w:space="0" w:color="auto"/>
              <w:left w:val="nil"/>
              <w:bottom w:val="single" w:sz="4" w:space="0" w:color="auto"/>
              <w:right w:val="single" w:sz="4" w:space="0" w:color="auto"/>
            </w:tcBorders>
            <w:shd w:val="clear" w:color="auto" w:fill="auto"/>
            <w:vAlign w:val="center"/>
          </w:tcPr>
          <w:p w14:paraId="483F6D48" w14:textId="77777777" w:rsidR="00787632" w:rsidRPr="00306EDA" w:rsidRDefault="00787632" w:rsidP="002220E3">
            <w:pPr>
              <w:keepNext/>
              <w:keepLines/>
              <w:jc w:val="center"/>
              <w:rPr>
                <w:bCs/>
                <w:smallCaps/>
                <w:sz w:val="18"/>
                <w:szCs w:val="18"/>
                <w:highlight w:val="yellow"/>
              </w:rPr>
            </w:pPr>
            <w:r w:rsidRPr="00306EDA">
              <w:rPr>
                <w:sz w:val="18"/>
                <w:szCs w:val="18"/>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44504430" w14:textId="77777777" w:rsidR="00787632" w:rsidRPr="00306EDA" w:rsidRDefault="00787632" w:rsidP="002220E3">
            <w:pPr>
              <w:keepNext/>
              <w:keepLines/>
              <w:jc w:val="center"/>
              <w:rPr>
                <w:bCs/>
                <w:smallCaps/>
                <w:sz w:val="18"/>
                <w:szCs w:val="18"/>
                <w:highlight w:val="yellow"/>
              </w:rPr>
            </w:pPr>
            <w:r w:rsidRPr="00306EDA">
              <w:rPr>
                <w:sz w:val="18"/>
                <w:szCs w:val="18"/>
              </w:rPr>
              <w:t>98%</w:t>
            </w:r>
          </w:p>
        </w:tc>
      </w:tr>
      <w:tr w:rsidR="00787632" w:rsidRPr="00B4177C" w14:paraId="33B8B7F1"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0D856999" w14:textId="77777777" w:rsidR="00787632" w:rsidRPr="00306EDA" w:rsidRDefault="00787632" w:rsidP="002220E3">
            <w:pPr>
              <w:keepNext/>
              <w:keepLines/>
              <w:rPr>
                <w:bCs/>
                <w:smallCaps/>
                <w:sz w:val="18"/>
                <w:szCs w:val="18"/>
              </w:rPr>
            </w:pPr>
            <w:r w:rsidRPr="00306EDA">
              <w:rPr>
                <w:sz w:val="18"/>
                <w:szCs w:val="18"/>
              </w:rPr>
              <w:t>Move-Out Response</w:t>
            </w:r>
          </w:p>
        </w:tc>
        <w:tc>
          <w:tcPr>
            <w:tcW w:w="990" w:type="dxa"/>
            <w:tcBorders>
              <w:top w:val="single" w:sz="4" w:space="0" w:color="auto"/>
              <w:left w:val="nil"/>
              <w:bottom w:val="single" w:sz="4" w:space="0" w:color="auto"/>
              <w:right w:val="single" w:sz="4" w:space="0" w:color="auto"/>
            </w:tcBorders>
            <w:shd w:val="clear" w:color="auto" w:fill="auto"/>
            <w:vAlign w:val="center"/>
          </w:tcPr>
          <w:p w14:paraId="5230B80C" w14:textId="77777777" w:rsidR="00787632" w:rsidRPr="00306EDA" w:rsidRDefault="00787632" w:rsidP="002220E3">
            <w:pPr>
              <w:keepNext/>
              <w:keepLines/>
              <w:rPr>
                <w:bCs/>
                <w:smallCaps/>
                <w:sz w:val="18"/>
                <w:szCs w:val="18"/>
                <w:highlight w:val="yellow"/>
              </w:rPr>
            </w:pPr>
            <w:r w:rsidRPr="00306EDA">
              <w:rPr>
                <w:sz w:val="18"/>
                <w:szCs w:val="18"/>
              </w:rPr>
              <w:t>B-1d)</w:t>
            </w:r>
          </w:p>
        </w:tc>
        <w:tc>
          <w:tcPr>
            <w:tcW w:w="1440" w:type="dxa"/>
            <w:tcBorders>
              <w:top w:val="single" w:sz="4" w:space="0" w:color="auto"/>
              <w:left w:val="nil"/>
              <w:bottom w:val="single" w:sz="4" w:space="0" w:color="auto"/>
              <w:right w:val="single" w:sz="4" w:space="0" w:color="auto"/>
            </w:tcBorders>
            <w:shd w:val="clear" w:color="auto" w:fill="auto"/>
            <w:vAlign w:val="center"/>
          </w:tcPr>
          <w:p w14:paraId="3211774E" w14:textId="5DF82CAA" w:rsidR="00787632" w:rsidRPr="00306EDA" w:rsidRDefault="00A054C4" w:rsidP="002220E3">
            <w:pPr>
              <w:keepNext/>
              <w:keepLines/>
              <w:jc w:val="right"/>
              <w:rPr>
                <w:bCs/>
                <w:smallCaps/>
                <w:sz w:val="18"/>
                <w:szCs w:val="18"/>
                <w:highlight w:val="yellow"/>
              </w:rPr>
            </w:pPr>
            <w:r w:rsidRPr="00306EDA">
              <w:rPr>
                <w:sz w:val="18"/>
                <w:szCs w:val="18"/>
              </w:rPr>
              <w:t>276,458</w:t>
            </w:r>
          </w:p>
        </w:tc>
        <w:tc>
          <w:tcPr>
            <w:tcW w:w="1530" w:type="dxa"/>
            <w:tcBorders>
              <w:top w:val="single" w:sz="4" w:space="0" w:color="auto"/>
              <w:left w:val="nil"/>
              <w:bottom w:val="single" w:sz="4" w:space="0" w:color="auto"/>
              <w:right w:val="single" w:sz="4" w:space="0" w:color="auto"/>
            </w:tcBorders>
            <w:shd w:val="clear" w:color="auto" w:fill="auto"/>
            <w:vAlign w:val="center"/>
          </w:tcPr>
          <w:p w14:paraId="631AC818" w14:textId="77777777" w:rsidR="00787632" w:rsidRPr="00306EDA" w:rsidRDefault="00787632" w:rsidP="002220E3">
            <w:pPr>
              <w:keepNext/>
              <w:keepLines/>
              <w:jc w:val="center"/>
              <w:rPr>
                <w:bCs/>
                <w:smallCaps/>
                <w:sz w:val="18"/>
                <w:szCs w:val="18"/>
                <w:highlight w:val="yellow"/>
              </w:rPr>
            </w:pPr>
            <w:r w:rsidRPr="00306EDA">
              <w:rPr>
                <w:sz w:val="18"/>
                <w:szCs w:val="18"/>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157B3BFB" w14:textId="77777777" w:rsidR="00787632" w:rsidRPr="00306EDA" w:rsidRDefault="00787632" w:rsidP="002220E3">
            <w:pPr>
              <w:keepNext/>
              <w:keepLines/>
              <w:jc w:val="center"/>
              <w:rPr>
                <w:bCs/>
                <w:smallCaps/>
                <w:sz w:val="18"/>
                <w:szCs w:val="18"/>
                <w:highlight w:val="yellow"/>
              </w:rPr>
            </w:pPr>
            <w:r w:rsidRPr="00306EDA">
              <w:rPr>
                <w:sz w:val="18"/>
                <w:szCs w:val="18"/>
              </w:rPr>
              <w:t>98%</w:t>
            </w:r>
          </w:p>
        </w:tc>
      </w:tr>
      <w:tr w:rsidR="00787632" w:rsidRPr="00B4177C" w14:paraId="0E0ABFD8"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50757563" w14:textId="77777777" w:rsidR="00787632" w:rsidRPr="00306EDA" w:rsidRDefault="00787632" w:rsidP="002220E3">
            <w:pPr>
              <w:keepNext/>
              <w:keepLines/>
              <w:rPr>
                <w:bCs/>
                <w:smallCaps/>
                <w:sz w:val="18"/>
                <w:szCs w:val="18"/>
              </w:rPr>
            </w:pPr>
            <w:r w:rsidRPr="00306EDA">
              <w:rPr>
                <w:sz w:val="18"/>
                <w:szCs w:val="18"/>
              </w:rPr>
              <w:t>Ad-hoc Historical Usage Response</w:t>
            </w:r>
          </w:p>
        </w:tc>
        <w:tc>
          <w:tcPr>
            <w:tcW w:w="990" w:type="dxa"/>
            <w:tcBorders>
              <w:top w:val="single" w:sz="4" w:space="0" w:color="auto"/>
              <w:left w:val="nil"/>
              <w:bottom w:val="single" w:sz="4" w:space="0" w:color="auto"/>
              <w:right w:val="single" w:sz="4" w:space="0" w:color="auto"/>
            </w:tcBorders>
            <w:shd w:val="clear" w:color="auto" w:fill="auto"/>
            <w:vAlign w:val="center"/>
          </w:tcPr>
          <w:p w14:paraId="452532D4" w14:textId="77777777" w:rsidR="00787632" w:rsidRPr="00306EDA" w:rsidRDefault="00787632" w:rsidP="002220E3">
            <w:pPr>
              <w:keepNext/>
              <w:keepLines/>
              <w:rPr>
                <w:bCs/>
                <w:smallCaps/>
                <w:sz w:val="18"/>
                <w:szCs w:val="18"/>
                <w:highlight w:val="yellow"/>
              </w:rPr>
            </w:pPr>
            <w:r w:rsidRPr="00306EDA">
              <w:rPr>
                <w:sz w:val="18"/>
                <w:szCs w:val="18"/>
              </w:rPr>
              <w:t>B-2a)</w:t>
            </w:r>
          </w:p>
        </w:tc>
        <w:tc>
          <w:tcPr>
            <w:tcW w:w="1440" w:type="dxa"/>
            <w:tcBorders>
              <w:top w:val="single" w:sz="4" w:space="0" w:color="auto"/>
              <w:left w:val="nil"/>
              <w:bottom w:val="single" w:sz="4" w:space="0" w:color="auto"/>
              <w:right w:val="single" w:sz="4" w:space="0" w:color="auto"/>
            </w:tcBorders>
            <w:shd w:val="clear" w:color="auto" w:fill="auto"/>
            <w:vAlign w:val="center"/>
          </w:tcPr>
          <w:p w14:paraId="3F1BBD04" w14:textId="0D34C664" w:rsidR="00787632" w:rsidRPr="00306EDA" w:rsidRDefault="002E664C" w:rsidP="002220E3">
            <w:pPr>
              <w:keepNext/>
              <w:keepLines/>
              <w:jc w:val="right"/>
              <w:rPr>
                <w:bCs/>
                <w:smallCaps/>
                <w:sz w:val="18"/>
                <w:szCs w:val="18"/>
                <w:highlight w:val="yellow"/>
              </w:rPr>
            </w:pPr>
            <w:r w:rsidRPr="00306EDA">
              <w:rPr>
                <w:sz w:val="18"/>
                <w:szCs w:val="18"/>
              </w:rPr>
              <w:t>115,677</w:t>
            </w:r>
          </w:p>
        </w:tc>
        <w:tc>
          <w:tcPr>
            <w:tcW w:w="1530" w:type="dxa"/>
            <w:tcBorders>
              <w:top w:val="single" w:sz="4" w:space="0" w:color="auto"/>
              <w:left w:val="nil"/>
              <w:bottom w:val="single" w:sz="4" w:space="0" w:color="auto"/>
              <w:right w:val="single" w:sz="4" w:space="0" w:color="auto"/>
            </w:tcBorders>
            <w:shd w:val="clear" w:color="auto" w:fill="auto"/>
            <w:vAlign w:val="center"/>
          </w:tcPr>
          <w:p w14:paraId="262F1FAA" w14:textId="77777777" w:rsidR="00787632" w:rsidRPr="00306EDA" w:rsidRDefault="00787632" w:rsidP="002220E3">
            <w:pPr>
              <w:keepNext/>
              <w:keepLines/>
              <w:jc w:val="center"/>
              <w:rPr>
                <w:bCs/>
                <w:smallCaps/>
                <w:sz w:val="18"/>
                <w:szCs w:val="18"/>
                <w:highlight w:val="yellow"/>
              </w:rPr>
            </w:pPr>
            <w:r w:rsidRPr="00306EDA">
              <w:rPr>
                <w:sz w:val="18"/>
                <w:szCs w:val="18"/>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78DE9518" w14:textId="77777777" w:rsidR="00787632" w:rsidRPr="00306EDA" w:rsidRDefault="00787632" w:rsidP="002220E3">
            <w:pPr>
              <w:keepNext/>
              <w:keepLines/>
              <w:jc w:val="center"/>
              <w:rPr>
                <w:bCs/>
                <w:smallCaps/>
                <w:sz w:val="18"/>
                <w:szCs w:val="18"/>
                <w:highlight w:val="yellow"/>
              </w:rPr>
            </w:pPr>
            <w:r w:rsidRPr="00306EDA">
              <w:rPr>
                <w:sz w:val="18"/>
                <w:szCs w:val="18"/>
              </w:rPr>
              <w:t>98%</w:t>
            </w:r>
          </w:p>
        </w:tc>
      </w:tr>
      <w:tr w:rsidR="00787632" w:rsidRPr="00B4177C" w14:paraId="75BEC24E"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4D6E7A57" w14:textId="77777777" w:rsidR="00787632" w:rsidRPr="00306EDA" w:rsidRDefault="00787632" w:rsidP="002220E3">
            <w:pPr>
              <w:keepNext/>
              <w:keepLines/>
              <w:rPr>
                <w:bCs/>
                <w:smallCaps/>
                <w:color w:val="000000"/>
                <w:sz w:val="18"/>
                <w:szCs w:val="18"/>
              </w:rPr>
            </w:pPr>
            <w:r w:rsidRPr="00306EDA">
              <w:rPr>
                <w:sz w:val="18"/>
                <w:szCs w:val="18"/>
              </w:rPr>
              <w:t>Historical Usage Request</w:t>
            </w:r>
          </w:p>
        </w:tc>
        <w:tc>
          <w:tcPr>
            <w:tcW w:w="990" w:type="dxa"/>
            <w:tcBorders>
              <w:top w:val="single" w:sz="4" w:space="0" w:color="auto"/>
              <w:left w:val="nil"/>
              <w:bottom w:val="single" w:sz="4" w:space="0" w:color="auto"/>
              <w:right w:val="single" w:sz="4" w:space="0" w:color="auto"/>
            </w:tcBorders>
            <w:shd w:val="clear" w:color="auto" w:fill="auto"/>
            <w:vAlign w:val="center"/>
          </w:tcPr>
          <w:p w14:paraId="22583047" w14:textId="77777777" w:rsidR="00787632" w:rsidRPr="00306EDA" w:rsidRDefault="00787632" w:rsidP="002220E3">
            <w:pPr>
              <w:keepNext/>
              <w:keepLines/>
              <w:rPr>
                <w:bCs/>
                <w:smallCaps/>
                <w:color w:val="000000"/>
                <w:sz w:val="18"/>
                <w:szCs w:val="18"/>
                <w:highlight w:val="yellow"/>
              </w:rPr>
            </w:pPr>
            <w:r w:rsidRPr="00306EDA">
              <w:rPr>
                <w:sz w:val="18"/>
                <w:szCs w:val="18"/>
              </w:rPr>
              <w:t>B-2a)</w:t>
            </w:r>
          </w:p>
        </w:tc>
        <w:tc>
          <w:tcPr>
            <w:tcW w:w="1440" w:type="dxa"/>
            <w:tcBorders>
              <w:top w:val="single" w:sz="4" w:space="0" w:color="auto"/>
              <w:left w:val="nil"/>
              <w:bottom w:val="single" w:sz="4" w:space="0" w:color="auto"/>
              <w:right w:val="single" w:sz="4" w:space="0" w:color="auto"/>
            </w:tcBorders>
            <w:shd w:val="clear" w:color="auto" w:fill="auto"/>
            <w:vAlign w:val="center"/>
          </w:tcPr>
          <w:p w14:paraId="2C40D103" w14:textId="0002AC57" w:rsidR="00787632" w:rsidRPr="00306EDA" w:rsidRDefault="008528FF" w:rsidP="002220E3">
            <w:pPr>
              <w:keepNext/>
              <w:keepLines/>
              <w:jc w:val="right"/>
              <w:rPr>
                <w:bCs/>
                <w:smallCaps/>
                <w:color w:val="000000"/>
                <w:sz w:val="18"/>
                <w:szCs w:val="18"/>
                <w:highlight w:val="yellow"/>
              </w:rPr>
            </w:pPr>
            <w:r w:rsidRPr="00306EDA">
              <w:rPr>
                <w:sz w:val="18"/>
                <w:szCs w:val="18"/>
              </w:rPr>
              <w:t>110,028</w:t>
            </w:r>
          </w:p>
        </w:tc>
        <w:tc>
          <w:tcPr>
            <w:tcW w:w="1530" w:type="dxa"/>
            <w:tcBorders>
              <w:top w:val="single" w:sz="4" w:space="0" w:color="auto"/>
              <w:left w:val="nil"/>
              <w:bottom w:val="single" w:sz="4" w:space="0" w:color="auto"/>
              <w:right w:val="single" w:sz="4" w:space="0" w:color="auto"/>
            </w:tcBorders>
            <w:shd w:val="clear" w:color="auto" w:fill="auto"/>
            <w:vAlign w:val="center"/>
          </w:tcPr>
          <w:p w14:paraId="4D9F22ED" w14:textId="77777777" w:rsidR="00787632" w:rsidRPr="00306EDA" w:rsidRDefault="00787632" w:rsidP="002220E3">
            <w:pPr>
              <w:keepNext/>
              <w:keepLines/>
              <w:jc w:val="center"/>
              <w:rPr>
                <w:bCs/>
                <w:smallCaps/>
                <w:color w:val="000000"/>
                <w:sz w:val="18"/>
                <w:szCs w:val="18"/>
                <w:highlight w:val="yellow"/>
              </w:rPr>
            </w:pPr>
            <w:r w:rsidRPr="00306EDA">
              <w:rPr>
                <w:sz w:val="18"/>
                <w:szCs w:val="18"/>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6D0BB8D5" w14:textId="77777777" w:rsidR="00787632" w:rsidRPr="00306EDA" w:rsidRDefault="00787632" w:rsidP="002220E3">
            <w:pPr>
              <w:keepNext/>
              <w:keepLines/>
              <w:jc w:val="center"/>
              <w:rPr>
                <w:bCs/>
                <w:smallCaps/>
                <w:color w:val="000000"/>
                <w:sz w:val="18"/>
                <w:szCs w:val="18"/>
                <w:highlight w:val="yellow"/>
              </w:rPr>
            </w:pPr>
            <w:r w:rsidRPr="00306EDA">
              <w:rPr>
                <w:sz w:val="18"/>
                <w:szCs w:val="18"/>
              </w:rPr>
              <w:t>98%</w:t>
            </w:r>
          </w:p>
        </w:tc>
      </w:tr>
      <w:tr w:rsidR="00787632" w:rsidRPr="00B4177C" w14:paraId="6DD2DA23" w14:textId="77777777" w:rsidTr="00A45675">
        <w:trPr>
          <w:trHeight w:val="432"/>
        </w:trPr>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14:paraId="32311F26" w14:textId="77777777" w:rsidR="00787632" w:rsidRPr="00306EDA" w:rsidRDefault="00787632" w:rsidP="002220E3">
            <w:pPr>
              <w:keepNext/>
              <w:keepLines/>
              <w:rPr>
                <w:bCs/>
                <w:smallCaps/>
                <w:color w:val="000000"/>
                <w:sz w:val="18"/>
                <w:szCs w:val="18"/>
              </w:rPr>
            </w:pPr>
            <w:r w:rsidRPr="00306EDA">
              <w:rPr>
                <w:sz w:val="18"/>
                <w:szCs w:val="18"/>
              </w:rPr>
              <w:t>Monthly Meter Reading</w:t>
            </w:r>
          </w:p>
        </w:tc>
        <w:tc>
          <w:tcPr>
            <w:tcW w:w="990" w:type="dxa"/>
            <w:tcBorders>
              <w:top w:val="single" w:sz="4" w:space="0" w:color="auto"/>
              <w:left w:val="nil"/>
              <w:bottom w:val="single" w:sz="4" w:space="0" w:color="auto"/>
              <w:right w:val="single" w:sz="4" w:space="0" w:color="auto"/>
            </w:tcBorders>
            <w:shd w:val="clear" w:color="auto" w:fill="auto"/>
            <w:vAlign w:val="center"/>
          </w:tcPr>
          <w:p w14:paraId="2184D58A" w14:textId="77777777" w:rsidR="00787632" w:rsidRPr="00306EDA" w:rsidRDefault="00787632" w:rsidP="002220E3">
            <w:pPr>
              <w:keepNext/>
              <w:keepLines/>
              <w:rPr>
                <w:bCs/>
                <w:smallCaps/>
                <w:color w:val="000000"/>
                <w:sz w:val="18"/>
                <w:szCs w:val="18"/>
                <w:highlight w:val="yellow"/>
              </w:rPr>
            </w:pPr>
            <w:r w:rsidRPr="00306EDA">
              <w:rPr>
                <w:sz w:val="18"/>
                <w:szCs w:val="18"/>
              </w:rPr>
              <w:t>B-2b)</w:t>
            </w:r>
          </w:p>
        </w:tc>
        <w:tc>
          <w:tcPr>
            <w:tcW w:w="1440" w:type="dxa"/>
            <w:tcBorders>
              <w:top w:val="single" w:sz="4" w:space="0" w:color="auto"/>
              <w:left w:val="nil"/>
              <w:bottom w:val="single" w:sz="4" w:space="0" w:color="auto"/>
              <w:right w:val="single" w:sz="4" w:space="0" w:color="auto"/>
            </w:tcBorders>
            <w:shd w:val="clear" w:color="auto" w:fill="auto"/>
            <w:vAlign w:val="center"/>
          </w:tcPr>
          <w:p w14:paraId="0000D5B8" w14:textId="5BBC6CDF" w:rsidR="00787632" w:rsidRPr="00306EDA" w:rsidRDefault="008528FF" w:rsidP="002220E3">
            <w:pPr>
              <w:keepNext/>
              <w:keepLines/>
              <w:jc w:val="right"/>
              <w:rPr>
                <w:bCs/>
                <w:smallCaps/>
                <w:color w:val="000000"/>
                <w:sz w:val="18"/>
                <w:szCs w:val="18"/>
                <w:highlight w:val="yellow"/>
              </w:rPr>
            </w:pPr>
            <w:r w:rsidRPr="00306EDA">
              <w:rPr>
                <w:sz w:val="18"/>
                <w:szCs w:val="18"/>
              </w:rPr>
              <w:t>38,629,406</w:t>
            </w:r>
          </w:p>
        </w:tc>
        <w:tc>
          <w:tcPr>
            <w:tcW w:w="1530" w:type="dxa"/>
            <w:tcBorders>
              <w:top w:val="single" w:sz="4" w:space="0" w:color="auto"/>
              <w:left w:val="nil"/>
              <w:bottom w:val="single" w:sz="4" w:space="0" w:color="auto"/>
              <w:right w:val="single" w:sz="4" w:space="0" w:color="auto"/>
            </w:tcBorders>
            <w:shd w:val="clear" w:color="auto" w:fill="auto"/>
            <w:vAlign w:val="center"/>
          </w:tcPr>
          <w:p w14:paraId="3B13AB5E" w14:textId="77777777" w:rsidR="00787632" w:rsidRPr="00306EDA" w:rsidRDefault="00787632" w:rsidP="002220E3">
            <w:pPr>
              <w:keepNext/>
              <w:keepLines/>
              <w:jc w:val="center"/>
              <w:rPr>
                <w:bCs/>
                <w:smallCaps/>
                <w:color w:val="000000"/>
                <w:sz w:val="18"/>
                <w:szCs w:val="18"/>
                <w:highlight w:val="yellow"/>
              </w:rPr>
            </w:pPr>
            <w:r w:rsidRPr="00306EDA">
              <w:rPr>
                <w:sz w:val="18"/>
                <w:szCs w:val="18"/>
              </w:rPr>
              <w:t>Not Calculated</w:t>
            </w:r>
          </w:p>
        </w:tc>
        <w:tc>
          <w:tcPr>
            <w:tcW w:w="1525" w:type="dxa"/>
            <w:tcBorders>
              <w:top w:val="single" w:sz="4" w:space="0" w:color="auto"/>
              <w:left w:val="nil"/>
              <w:bottom w:val="single" w:sz="4" w:space="0" w:color="auto"/>
              <w:right w:val="single" w:sz="4" w:space="0" w:color="auto"/>
            </w:tcBorders>
            <w:shd w:val="clear" w:color="auto" w:fill="auto"/>
            <w:vAlign w:val="center"/>
          </w:tcPr>
          <w:p w14:paraId="7CA1FF7A" w14:textId="4121150E" w:rsidR="00787632" w:rsidRPr="00306EDA" w:rsidRDefault="00787632" w:rsidP="002220E3">
            <w:pPr>
              <w:keepNext/>
              <w:keepLines/>
              <w:jc w:val="center"/>
              <w:rPr>
                <w:bCs/>
                <w:smallCaps/>
                <w:color w:val="000000"/>
                <w:sz w:val="18"/>
                <w:szCs w:val="18"/>
                <w:highlight w:val="yellow"/>
              </w:rPr>
            </w:pPr>
            <w:r w:rsidRPr="00306EDA">
              <w:rPr>
                <w:sz w:val="18"/>
                <w:szCs w:val="18"/>
              </w:rPr>
              <w:t>No Requirement</w:t>
            </w:r>
          </w:p>
        </w:tc>
      </w:tr>
    </w:tbl>
    <w:p w14:paraId="27E144C7" w14:textId="77777777" w:rsidR="007E3C83" w:rsidRDefault="007E3C83" w:rsidP="00787632">
      <w:pPr>
        <w:pStyle w:val="BodyText"/>
        <w:widowControl/>
        <w:pBdr>
          <w:left w:val="none" w:sz="0" w:space="0" w:color="auto"/>
        </w:pBdr>
        <w:ind w:left="720"/>
        <w:jc w:val="both"/>
        <w:rPr>
          <w:b w:val="0"/>
        </w:rPr>
      </w:pPr>
    </w:p>
    <w:p w14:paraId="4D07636E" w14:textId="52DB930B" w:rsidR="00787632" w:rsidRPr="00717D05" w:rsidDel="00BF33AD" w:rsidRDefault="00787632" w:rsidP="0050306C">
      <w:pPr>
        <w:pStyle w:val="BodyText"/>
        <w:widowControl/>
        <w:pBdr>
          <w:left w:val="none" w:sz="0" w:space="0" w:color="auto"/>
        </w:pBdr>
        <w:ind w:left="720"/>
        <w:jc w:val="both"/>
        <w:rPr>
          <w:b w:val="0"/>
        </w:rPr>
      </w:pPr>
      <w:r>
        <w:rPr>
          <w:b w:val="0"/>
        </w:rPr>
        <w:t xml:space="preserve">As </w:t>
      </w:r>
      <w:r w:rsidR="0078645D">
        <w:rPr>
          <w:b w:val="0"/>
        </w:rPr>
        <w:t>F</w:t>
      </w:r>
      <w:r w:rsidR="467665D4">
        <w:rPr>
          <w:b w:val="0"/>
        </w:rPr>
        <w:t xml:space="preserve">igure </w:t>
      </w:r>
      <w:r w:rsidR="00747361">
        <w:rPr>
          <w:b w:val="0"/>
        </w:rPr>
        <w:t>1</w:t>
      </w:r>
      <w:r>
        <w:rPr>
          <w:b w:val="0"/>
        </w:rPr>
        <w:t xml:space="preserve"> shows, CenterPoint Houston exceeded the required performance level for each transaction type.</w:t>
      </w:r>
    </w:p>
    <w:p w14:paraId="4E914F7A" w14:textId="00BAF892" w:rsidR="00262DB9" w:rsidRPr="00A45675" w:rsidRDefault="007B7551" w:rsidP="00BC201F">
      <w:pPr>
        <w:pStyle w:val="CROutline2"/>
        <w:numPr>
          <w:ilvl w:val="0"/>
          <w:numId w:val="7"/>
        </w:numPr>
        <w:jc w:val="center"/>
        <w:rPr>
          <w:caps/>
          <w:u w:val="single"/>
        </w:rPr>
      </w:pPr>
      <w:bookmarkStart w:id="17" w:name="_Toc159491391"/>
      <w:r w:rsidRPr="00A45675">
        <w:rPr>
          <w:caps/>
          <w:u w:val="single"/>
        </w:rPr>
        <w:t>Business Consulting</w:t>
      </w:r>
      <w:bookmarkEnd w:id="17"/>
    </w:p>
    <w:p w14:paraId="1526A92A" w14:textId="77777777" w:rsidR="00084C43" w:rsidRDefault="00084C43" w:rsidP="00084C43">
      <w:pPr>
        <w:pStyle w:val="BodyText"/>
        <w:widowControl/>
        <w:pBdr>
          <w:left w:val="none" w:sz="0" w:space="0" w:color="auto"/>
        </w:pBdr>
        <w:ind w:left="720" w:hanging="720"/>
        <w:jc w:val="both"/>
      </w:pPr>
      <w:r>
        <w:t>Q.</w:t>
      </w:r>
      <w:r>
        <w:tab/>
        <w:t>WHAT IS THE BUSINESS CONSULTING GROUP AND WHAT ARE ITS FUNCTIONS?</w:t>
      </w:r>
    </w:p>
    <w:p w14:paraId="07345C52" w14:textId="612439C9" w:rsidR="00084C43" w:rsidRDefault="00084C43" w:rsidP="28B9646C">
      <w:pPr>
        <w:pStyle w:val="BodyText"/>
        <w:widowControl/>
        <w:pBdr>
          <w:left w:val="none" w:sz="0" w:space="0" w:color="auto"/>
        </w:pBdr>
        <w:ind w:left="720" w:hanging="720"/>
        <w:jc w:val="both"/>
        <w:rPr>
          <w:b w:val="0"/>
        </w:rPr>
      </w:pPr>
      <w:r>
        <w:rPr>
          <w:b w:val="0"/>
        </w:rPr>
        <w:t>A.</w:t>
      </w:r>
      <w:r>
        <w:tab/>
      </w:r>
      <w:r>
        <w:rPr>
          <w:b w:val="0"/>
        </w:rPr>
        <w:t xml:space="preserve">The Business Consulting group is responsible for designing and implementing system and process </w:t>
      </w:r>
      <w:r w:rsidR="000A420A">
        <w:rPr>
          <w:b w:val="0"/>
        </w:rPr>
        <w:t>enhancements</w:t>
      </w:r>
      <w:r>
        <w:rPr>
          <w:b w:val="0"/>
        </w:rPr>
        <w:t xml:space="preserve"> to improve the functioning and efficiency of CenterPoint Houston’s transaction processing systems.  The group also manages </w:t>
      </w:r>
      <w:bookmarkStart w:id="18" w:name="_Int_2aQxYEgM"/>
      <w:r>
        <w:rPr>
          <w:b w:val="0"/>
        </w:rPr>
        <w:t>system</w:t>
      </w:r>
      <w:bookmarkEnd w:id="18"/>
      <w:r>
        <w:rPr>
          <w:b w:val="0"/>
        </w:rPr>
        <w:t xml:space="preserve"> and process changes that are necessary to comply with changes in Commission rules, ERCOT protocols, or other market rules.  The business analysts in Business Consulting evaluate rule or protocol changes and then define business requirements that internal processes and systems must meet.  </w:t>
      </w:r>
      <w:r w:rsidR="00784D44">
        <w:rPr>
          <w:b w:val="0"/>
        </w:rPr>
        <w:t xml:space="preserve">The team </w:t>
      </w:r>
      <w:r w:rsidR="003065D0">
        <w:rPr>
          <w:b w:val="0"/>
        </w:rPr>
        <w:t xml:space="preserve">then </w:t>
      </w:r>
      <w:r w:rsidR="00784D44">
        <w:rPr>
          <w:b w:val="0"/>
        </w:rPr>
        <w:lastRenderedPageBreak/>
        <w:t xml:space="preserve">collaborates </w:t>
      </w:r>
      <w:r w:rsidR="00FB5085">
        <w:rPr>
          <w:b w:val="0"/>
        </w:rPr>
        <w:t xml:space="preserve">closely </w:t>
      </w:r>
      <w:r w:rsidR="004F0A7C">
        <w:rPr>
          <w:b w:val="0"/>
        </w:rPr>
        <w:t xml:space="preserve">with other </w:t>
      </w:r>
      <w:r w:rsidR="004C266F">
        <w:rPr>
          <w:b w:val="0"/>
        </w:rPr>
        <w:t>EMO</w:t>
      </w:r>
      <w:r w:rsidR="00EF3E48">
        <w:rPr>
          <w:b w:val="0"/>
        </w:rPr>
        <w:t xml:space="preserve"> groups and IT on functional design</w:t>
      </w:r>
      <w:r w:rsidR="003065D0">
        <w:rPr>
          <w:b w:val="0"/>
        </w:rPr>
        <w:t>.</w:t>
      </w:r>
      <w:r w:rsidR="00EF3E48">
        <w:rPr>
          <w:b w:val="0"/>
        </w:rPr>
        <w:t xml:space="preserve"> </w:t>
      </w:r>
      <w:r w:rsidR="008A3846">
        <w:rPr>
          <w:b w:val="0"/>
        </w:rPr>
        <w:t xml:space="preserve"> </w:t>
      </w:r>
      <w:r>
        <w:rPr>
          <w:b w:val="0"/>
        </w:rPr>
        <w:t xml:space="preserve">Once the </w:t>
      </w:r>
      <w:r w:rsidR="003065D0">
        <w:rPr>
          <w:b w:val="0"/>
        </w:rPr>
        <w:t>changes are</w:t>
      </w:r>
      <w:r>
        <w:rPr>
          <w:b w:val="0"/>
        </w:rPr>
        <w:t xml:space="preserve"> programmed by </w:t>
      </w:r>
      <w:r w:rsidR="003065D0">
        <w:rPr>
          <w:b w:val="0"/>
        </w:rPr>
        <w:t>IT</w:t>
      </w:r>
      <w:r>
        <w:rPr>
          <w:b w:val="0"/>
        </w:rPr>
        <w:t xml:space="preserve">, Business Consulting tests the changes to ensure that the requirements are met and that the system functions as designed.  </w:t>
      </w:r>
      <w:r w:rsidR="001605F9">
        <w:rPr>
          <w:b w:val="0"/>
        </w:rPr>
        <w:t xml:space="preserve">In some cases, </w:t>
      </w:r>
      <w:r w:rsidR="00EC01C1">
        <w:rPr>
          <w:b w:val="0"/>
        </w:rPr>
        <w:t xml:space="preserve">changes are not driven by </w:t>
      </w:r>
      <w:r w:rsidR="00373C5A">
        <w:rPr>
          <w:b w:val="0"/>
        </w:rPr>
        <w:t xml:space="preserve">new rules or protocols, but are necessary to </w:t>
      </w:r>
      <w:r w:rsidR="00F7785D">
        <w:rPr>
          <w:b w:val="0"/>
        </w:rPr>
        <w:t>maintain or upgrade the Company’s IT systems</w:t>
      </w:r>
      <w:r w:rsidR="00A81131">
        <w:rPr>
          <w:b w:val="0"/>
        </w:rPr>
        <w:t xml:space="preserve">.  </w:t>
      </w:r>
      <w:r>
        <w:rPr>
          <w:b w:val="0"/>
        </w:rPr>
        <w:t xml:space="preserve">Business Consulting leads the testing effort related to </w:t>
      </w:r>
      <w:r w:rsidR="00A81131">
        <w:rPr>
          <w:b w:val="0"/>
        </w:rPr>
        <w:t xml:space="preserve">such upgrades </w:t>
      </w:r>
      <w:r>
        <w:rPr>
          <w:b w:val="0"/>
        </w:rPr>
        <w:t xml:space="preserve">to ensure that the upgrades are implemented without </w:t>
      </w:r>
      <w:r w:rsidR="00F4156A">
        <w:rPr>
          <w:b w:val="0"/>
        </w:rPr>
        <w:t>negatively impacting</w:t>
      </w:r>
      <w:r>
        <w:rPr>
          <w:b w:val="0"/>
        </w:rPr>
        <w:t xml:space="preserve"> transaction processing.  </w:t>
      </w:r>
    </w:p>
    <w:p w14:paraId="7EC661C5" w14:textId="5636AE2E" w:rsidR="00084C43" w:rsidRPr="00746D1C" w:rsidRDefault="00BF0683" w:rsidP="00183989">
      <w:pPr>
        <w:pStyle w:val="BodyText"/>
        <w:widowControl/>
        <w:pBdr>
          <w:left w:val="none" w:sz="0" w:space="0" w:color="auto"/>
        </w:pBdr>
        <w:ind w:left="720" w:firstLine="720"/>
        <w:jc w:val="both"/>
        <w:rPr>
          <w:b w:val="0"/>
        </w:rPr>
      </w:pPr>
      <w:r w:rsidRPr="00A86FAE">
        <w:rPr>
          <w:b w:val="0"/>
        </w:rPr>
        <w:t>Since 202</w:t>
      </w:r>
      <w:r w:rsidR="00B61AB3" w:rsidRPr="00A86FAE">
        <w:rPr>
          <w:b w:val="0"/>
        </w:rPr>
        <w:t xml:space="preserve">1, Business Consulting has </w:t>
      </w:r>
      <w:r w:rsidR="008B7A42" w:rsidRPr="00A86FAE">
        <w:rPr>
          <w:b w:val="0"/>
        </w:rPr>
        <w:t xml:space="preserve">transitioned its project management methodology to the Agile delivery model, which </w:t>
      </w:r>
      <w:r w:rsidR="00DD43A0" w:rsidRPr="00A86FAE">
        <w:rPr>
          <w:b w:val="0"/>
        </w:rPr>
        <w:t xml:space="preserve">uses </w:t>
      </w:r>
      <w:r w:rsidR="00735B7A" w:rsidRPr="00A86FAE">
        <w:rPr>
          <w:b w:val="0"/>
        </w:rPr>
        <w:t xml:space="preserve">a </w:t>
      </w:r>
      <w:r w:rsidR="00DD43A0" w:rsidRPr="00A86FAE">
        <w:rPr>
          <w:b w:val="0"/>
        </w:rPr>
        <w:t xml:space="preserve">cross-functional </w:t>
      </w:r>
      <w:r w:rsidR="00735B7A" w:rsidRPr="00A86FAE">
        <w:rPr>
          <w:b w:val="0"/>
        </w:rPr>
        <w:t xml:space="preserve">team approach to deliver </w:t>
      </w:r>
      <w:r w:rsidR="00AA547D" w:rsidRPr="00A86FAE">
        <w:rPr>
          <w:b w:val="0"/>
        </w:rPr>
        <w:t xml:space="preserve">process and system enhancements faster and more efficiently than </w:t>
      </w:r>
      <w:r w:rsidR="00470CAE" w:rsidRPr="00A86FAE">
        <w:rPr>
          <w:b w:val="0"/>
        </w:rPr>
        <w:t xml:space="preserve">the traditional “waterfall” method of project management.  </w:t>
      </w:r>
      <w:r w:rsidR="004C266F">
        <w:rPr>
          <w:b w:val="0"/>
        </w:rPr>
        <w:t>EMO’s</w:t>
      </w:r>
      <w:r w:rsidR="006403FE" w:rsidRPr="00570CD0">
        <w:rPr>
          <w:b w:val="0"/>
        </w:rPr>
        <w:t xml:space="preserve"> transition to the Agile deliver</w:t>
      </w:r>
      <w:r w:rsidR="00D061E2" w:rsidRPr="00570CD0">
        <w:rPr>
          <w:b w:val="0"/>
        </w:rPr>
        <w:t>y</w:t>
      </w:r>
      <w:r w:rsidR="006403FE" w:rsidRPr="00570CD0">
        <w:rPr>
          <w:b w:val="0"/>
        </w:rPr>
        <w:t xml:space="preserve"> model is discussed in more detail </w:t>
      </w:r>
      <w:r w:rsidR="006040A8" w:rsidRPr="00570CD0">
        <w:rPr>
          <w:b w:val="0"/>
        </w:rPr>
        <w:t xml:space="preserve">later </w:t>
      </w:r>
      <w:r w:rsidR="006403FE" w:rsidRPr="00570CD0">
        <w:rPr>
          <w:b w:val="0"/>
        </w:rPr>
        <w:t>in my testimony.</w:t>
      </w:r>
      <w:r w:rsidR="006403FE">
        <w:rPr>
          <w:b w:val="0"/>
        </w:rPr>
        <w:t xml:space="preserve">  </w:t>
      </w:r>
    </w:p>
    <w:p w14:paraId="48FBBBF7" w14:textId="06AD15EA" w:rsidR="00262DB9" w:rsidRPr="00A45675" w:rsidRDefault="00CE70C3" w:rsidP="00BC201F">
      <w:pPr>
        <w:pStyle w:val="CROutline2"/>
        <w:numPr>
          <w:ilvl w:val="1"/>
          <w:numId w:val="9"/>
        </w:numPr>
        <w:jc w:val="center"/>
        <w:rPr>
          <w:caps/>
          <w:u w:val="single"/>
        </w:rPr>
      </w:pPr>
      <w:bookmarkStart w:id="19" w:name="_Toc159491392"/>
      <w:r w:rsidRPr="00A45675">
        <w:rPr>
          <w:caps/>
          <w:u w:val="single"/>
        </w:rPr>
        <w:t>Electric Market Relations</w:t>
      </w:r>
      <w:bookmarkEnd w:id="19"/>
      <w:r w:rsidRPr="00A45675">
        <w:rPr>
          <w:caps/>
          <w:u w:val="single"/>
        </w:rPr>
        <w:t xml:space="preserve"> </w:t>
      </w:r>
    </w:p>
    <w:p w14:paraId="55CA9770" w14:textId="77777777" w:rsidR="0072012F" w:rsidRDefault="0072012F" w:rsidP="0072012F">
      <w:pPr>
        <w:pStyle w:val="BodyText"/>
        <w:widowControl/>
        <w:pBdr>
          <w:left w:val="none" w:sz="0" w:space="0" w:color="auto"/>
        </w:pBdr>
        <w:ind w:left="720" w:hanging="720"/>
        <w:jc w:val="both"/>
      </w:pPr>
      <w:r w:rsidRPr="00831B03">
        <w:t>Q.</w:t>
      </w:r>
      <w:r>
        <w:rPr>
          <w:b w:val="0"/>
        </w:rPr>
        <w:tab/>
      </w:r>
      <w:r w:rsidRPr="004B03C1">
        <w:t xml:space="preserve">WHAT IS THE </w:t>
      </w:r>
      <w:r>
        <w:t xml:space="preserve">ELECTRIC MARKET RELATIONS </w:t>
      </w:r>
      <w:r w:rsidRPr="004B03C1">
        <w:t>GROUP AND WHAT ARE ITS RESPONSIBILIT</w:t>
      </w:r>
      <w:r>
        <w:t>I</w:t>
      </w:r>
      <w:r w:rsidRPr="004B03C1">
        <w:t>ES?</w:t>
      </w:r>
    </w:p>
    <w:p w14:paraId="58208924" w14:textId="27084F4A" w:rsidR="0072012F" w:rsidRDefault="0072012F" w:rsidP="0072012F">
      <w:pPr>
        <w:pStyle w:val="BodyText"/>
        <w:widowControl/>
        <w:pBdr>
          <w:left w:val="none" w:sz="0" w:space="0" w:color="auto"/>
        </w:pBdr>
        <w:ind w:left="720" w:hanging="720"/>
        <w:jc w:val="both"/>
        <w:rPr>
          <w:b w:val="0"/>
        </w:rPr>
      </w:pPr>
      <w:r>
        <w:rPr>
          <w:b w:val="0"/>
        </w:rPr>
        <w:t>A.</w:t>
      </w:r>
      <w:r>
        <w:rPr>
          <w:b w:val="0"/>
        </w:rPr>
        <w:tab/>
        <w:t xml:space="preserve">The Electric Market Relations group utilizes a broad range of experience, knowledge and specialized skills to provide an effective interface between the Company and CRs, ERCOT, the Commission, and other market participants. </w:t>
      </w:r>
    </w:p>
    <w:p w14:paraId="733A01AB" w14:textId="77777777" w:rsidR="0072012F" w:rsidRDefault="0072012F" w:rsidP="00183989">
      <w:pPr>
        <w:pStyle w:val="BodyText"/>
        <w:widowControl/>
        <w:pBdr>
          <w:left w:val="none" w:sz="0" w:space="0" w:color="auto"/>
        </w:pBdr>
        <w:ind w:left="720" w:firstLine="720"/>
        <w:jc w:val="both"/>
        <w:rPr>
          <w:b w:val="0"/>
        </w:rPr>
      </w:pPr>
      <w:r>
        <w:rPr>
          <w:b w:val="0"/>
        </w:rPr>
        <w:t xml:space="preserve">Electric Market Relations’ personnel provide a single point of contact and accountability for CRs, with 24/7 availability to answer questions, resolve issues and facilitate necessary field activities.  In addition, this group provides an effective liaison between CRs and all business units and functions within the CenterPoint </w:t>
      </w:r>
      <w:r>
        <w:rPr>
          <w:b w:val="0"/>
        </w:rPr>
        <w:lastRenderedPageBreak/>
        <w:t>Houston organization to ensure that CRs’ needs for timely service and resolution of issues are being addressed by the appropriate internal parties.</w:t>
      </w:r>
    </w:p>
    <w:p w14:paraId="135EE3ED" w14:textId="4D576F0A" w:rsidR="0072012F" w:rsidRDefault="0072012F" w:rsidP="0072012F">
      <w:pPr>
        <w:pStyle w:val="BodyText"/>
        <w:widowControl/>
        <w:pBdr>
          <w:left w:val="none" w:sz="0" w:space="0" w:color="auto"/>
        </w:pBdr>
        <w:ind w:left="720" w:firstLine="720"/>
        <w:jc w:val="both"/>
        <w:rPr>
          <w:b w:val="0"/>
        </w:rPr>
      </w:pPr>
      <w:r>
        <w:rPr>
          <w:b w:val="0"/>
        </w:rPr>
        <w:t xml:space="preserve">Electric Market Relations also works to </w:t>
      </w:r>
      <w:r w:rsidR="00D92F3C">
        <w:rPr>
          <w:b w:val="0"/>
        </w:rPr>
        <w:t>develop</w:t>
      </w:r>
      <w:r>
        <w:rPr>
          <w:b w:val="0"/>
        </w:rPr>
        <w:t xml:space="preserve"> and execute communication strategies designed to provide CRs with </w:t>
      </w:r>
      <w:r w:rsidR="00D92F3C">
        <w:rPr>
          <w:b w:val="0"/>
        </w:rPr>
        <w:t>timely and accurate</w:t>
      </w:r>
      <w:r>
        <w:rPr>
          <w:b w:val="0"/>
        </w:rPr>
        <w:t xml:space="preserve"> information concerning CenterPoint Houston system issues, significant service interruptions, emergency operations events, weather-moratorium events, Tariff changes, and other relevant market information as required.</w:t>
      </w:r>
    </w:p>
    <w:p w14:paraId="3A5AB6AB" w14:textId="31871B98" w:rsidR="0072012F" w:rsidRDefault="0072012F" w:rsidP="0072012F">
      <w:pPr>
        <w:pStyle w:val="BodyText"/>
        <w:widowControl/>
        <w:pBdr>
          <w:left w:val="none" w:sz="0" w:space="0" w:color="auto"/>
        </w:pBdr>
        <w:ind w:left="720" w:firstLine="720"/>
        <w:jc w:val="both"/>
        <w:rPr>
          <w:b w:val="0"/>
        </w:rPr>
      </w:pPr>
      <w:r>
        <w:rPr>
          <w:b w:val="0"/>
        </w:rPr>
        <w:t xml:space="preserve">In addition, Electric Market Relations acts as a liaison between CenterPoint Houston and ERCOT, providing leadership and participation to multiple subcommittees, working groups and task forces in the ERCOT stakeholder process.  </w:t>
      </w:r>
    </w:p>
    <w:p w14:paraId="451E811B" w14:textId="272BB2B2" w:rsidR="0072012F" w:rsidRDefault="0072012F" w:rsidP="28B9646C">
      <w:pPr>
        <w:pStyle w:val="BodyText"/>
        <w:widowControl/>
        <w:pBdr>
          <w:left w:val="none" w:sz="0" w:space="0" w:color="auto"/>
        </w:pBdr>
        <w:ind w:left="720" w:firstLine="720"/>
        <w:jc w:val="both"/>
        <w:rPr>
          <w:b w:val="0"/>
        </w:rPr>
      </w:pPr>
      <w:r>
        <w:rPr>
          <w:b w:val="0"/>
        </w:rPr>
        <w:t xml:space="preserve">Through involvement in the ERCOT working groups, Electric Market Relations plays an active role in keeping CenterPoint Houston aware of market rules and ensuring compliance with those rules.  Additionally, in coordination with CenterPoint Houston’s Regulatory Group, the team actively monitors rulemakings at the Commission to ensure that the Company complies with any new </w:t>
      </w:r>
      <w:r w:rsidR="6811632D">
        <w:rPr>
          <w:b w:val="0"/>
        </w:rPr>
        <w:t>statutory, regulatory</w:t>
      </w:r>
      <w:r w:rsidR="14EE8E15">
        <w:rPr>
          <w:b w:val="0"/>
        </w:rPr>
        <w:t>,</w:t>
      </w:r>
      <w:r w:rsidR="6811632D">
        <w:rPr>
          <w:b w:val="0"/>
        </w:rPr>
        <w:t xml:space="preserve"> or ERCOT </w:t>
      </w:r>
      <w:r>
        <w:rPr>
          <w:b w:val="0"/>
        </w:rPr>
        <w:t>requirements.</w:t>
      </w:r>
    </w:p>
    <w:p w14:paraId="3E4BD17C" w14:textId="2C9F356F" w:rsidR="0072012F" w:rsidRPr="001E0A82" w:rsidRDefault="0072012F" w:rsidP="0072012F">
      <w:pPr>
        <w:pStyle w:val="BodyText"/>
        <w:widowControl/>
        <w:pBdr>
          <w:left w:val="none" w:sz="0" w:space="0" w:color="auto"/>
        </w:pBdr>
        <w:ind w:left="720" w:hanging="720"/>
        <w:jc w:val="both"/>
        <w:rPr>
          <w:b w:val="0"/>
        </w:rPr>
      </w:pPr>
      <w:r w:rsidRPr="00831B03">
        <w:t>Q.</w:t>
      </w:r>
      <w:r w:rsidRPr="00831B03">
        <w:tab/>
        <w:t xml:space="preserve">HAS THE ELECTRIC MARKET RELATIONS GROUP EMPLOYED AUTOMATED </w:t>
      </w:r>
      <w:r w:rsidRPr="00D64344">
        <w:t xml:space="preserve">SYSTEMS TO IMPROVE A </w:t>
      </w:r>
      <w:r>
        <w:t>C</w:t>
      </w:r>
      <w:r w:rsidRPr="00D64344">
        <w:t xml:space="preserve">R’S EXPERIENCE WITH </w:t>
      </w:r>
      <w:r w:rsidR="004C266F">
        <w:t>EMO</w:t>
      </w:r>
      <w:r w:rsidRPr="00831B03">
        <w:t>?</w:t>
      </w:r>
    </w:p>
    <w:p w14:paraId="7DB0525E" w14:textId="36B2BEBF" w:rsidR="0072012F" w:rsidRDefault="0072012F" w:rsidP="0072012F">
      <w:pPr>
        <w:pStyle w:val="BodyText"/>
        <w:widowControl/>
        <w:pBdr>
          <w:left w:val="none" w:sz="0" w:space="0" w:color="auto"/>
        </w:pBdr>
        <w:ind w:left="720" w:hanging="720"/>
        <w:jc w:val="both"/>
        <w:rPr>
          <w:b w:val="0"/>
        </w:rPr>
      </w:pPr>
      <w:r w:rsidRPr="00831B03">
        <w:rPr>
          <w:b w:val="0"/>
        </w:rPr>
        <w:t>A.</w:t>
      </w:r>
      <w:r w:rsidRPr="00831B03">
        <w:rPr>
          <w:b w:val="0"/>
        </w:rPr>
        <w:tab/>
        <w:t>Yes, Electric Market Relations maintai</w:t>
      </w:r>
      <w:r>
        <w:rPr>
          <w:b w:val="0"/>
        </w:rPr>
        <w:t>ns</w:t>
      </w:r>
      <w:r w:rsidRPr="00831B03">
        <w:rPr>
          <w:b w:val="0"/>
        </w:rPr>
        <w:t xml:space="preserve"> several </w:t>
      </w:r>
      <w:r w:rsidR="005671EE">
        <w:rPr>
          <w:b w:val="0"/>
        </w:rPr>
        <w:t>digital channels</w:t>
      </w:r>
      <w:r w:rsidRPr="00831B03">
        <w:rPr>
          <w:b w:val="0"/>
        </w:rPr>
        <w:t xml:space="preserve"> that </w:t>
      </w:r>
      <w:r w:rsidR="00762BEF">
        <w:rPr>
          <w:b w:val="0"/>
        </w:rPr>
        <w:t xml:space="preserve">provide information and </w:t>
      </w:r>
      <w:r w:rsidR="00961B9B">
        <w:rPr>
          <w:b w:val="0"/>
        </w:rPr>
        <w:t xml:space="preserve">functionality to CRs, customers, and other market participants.  </w:t>
      </w:r>
      <w:r w:rsidRPr="00831B03">
        <w:rPr>
          <w:b w:val="0"/>
        </w:rPr>
        <w:t xml:space="preserve">  </w:t>
      </w:r>
    </w:p>
    <w:p w14:paraId="7054D58F" w14:textId="1F853B93" w:rsidR="0072012F" w:rsidRPr="008D3A9D" w:rsidRDefault="0072012F" w:rsidP="0050306C">
      <w:pPr>
        <w:pStyle w:val="BodyText"/>
        <w:widowControl/>
        <w:pBdr>
          <w:left w:val="none" w:sz="0" w:space="0" w:color="auto"/>
        </w:pBdr>
        <w:ind w:left="720" w:firstLine="720"/>
        <w:jc w:val="both"/>
        <w:rPr>
          <w:b w:val="0"/>
        </w:rPr>
      </w:pPr>
      <w:r>
        <w:t>Competitive Retailer Support website.</w:t>
      </w:r>
      <w:r>
        <w:rPr>
          <w:b w:val="0"/>
        </w:rPr>
        <w:t xml:space="preserve">  Electric Market Relations actively manages the CenterPoint Houston CR portion of the CenterPoint Energy, </w:t>
      </w:r>
      <w:r>
        <w:rPr>
          <w:b w:val="0"/>
        </w:rPr>
        <w:lastRenderedPageBreak/>
        <w:t xml:space="preserve">Inc. (“CNP”) corporate website.  The CR Support website includes relevant information related to starting a business as a CR in CenterPoint Houston’s service territory, as well as other useful retail market related information, forms, and links. The availability of the website allows CRs to obtain the information they need without having to call an Account Manager or the CenterPoint Houston call center. The website is also used to provide critical information to CRs regarding </w:t>
      </w:r>
      <w:r w:rsidR="00244077">
        <w:rPr>
          <w:b w:val="0"/>
        </w:rPr>
        <w:t>the Company</w:t>
      </w:r>
      <w:r w:rsidRPr="00874D14">
        <w:rPr>
          <w:b w:val="0"/>
        </w:rPr>
        <w:t>’s o</w:t>
      </w:r>
      <w:r>
        <w:rPr>
          <w:b w:val="0"/>
        </w:rPr>
        <w:t>perations during Emergency Operations events</w:t>
      </w:r>
      <w:r w:rsidR="00C67298">
        <w:rPr>
          <w:b w:val="0"/>
        </w:rPr>
        <w:t>.</w:t>
      </w:r>
      <w:r>
        <w:rPr>
          <w:b w:val="0"/>
        </w:rPr>
        <w:t xml:space="preserve"> </w:t>
      </w:r>
    </w:p>
    <w:p w14:paraId="0191C112" w14:textId="63B05DE1" w:rsidR="0072012F" w:rsidRPr="00E674D2" w:rsidRDefault="00961B9B" w:rsidP="0072012F">
      <w:pPr>
        <w:pStyle w:val="BodyText"/>
        <w:widowControl/>
        <w:pBdr>
          <w:left w:val="none" w:sz="0" w:space="0" w:color="auto"/>
        </w:pBdr>
        <w:ind w:left="720" w:firstLine="720"/>
        <w:jc w:val="both"/>
        <w:rPr>
          <w:b w:val="0"/>
          <w:color w:val="000000" w:themeColor="text1"/>
        </w:rPr>
      </w:pPr>
      <w:r>
        <w:t>Competitive Retailer Information Portal (“CRIP</w:t>
      </w:r>
      <w:r w:rsidR="003E30BF">
        <w:t>”)</w:t>
      </w:r>
      <w:r w:rsidR="0072012F" w:rsidRPr="008D3A9D">
        <w:t>.</w:t>
      </w:r>
      <w:r w:rsidR="0072012F">
        <w:rPr>
          <w:b w:val="0"/>
        </w:rPr>
        <w:t xml:space="preserve">  CRIP is a secure </w:t>
      </w:r>
      <w:r w:rsidR="003E30BF">
        <w:rPr>
          <w:b w:val="0"/>
        </w:rPr>
        <w:t>web</w:t>
      </w:r>
      <w:r w:rsidR="0072012F">
        <w:rPr>
          <w:b w:val="0"/>
        </w:rPr>
        <w:t xml:space="preserve">site that contains data </w:t>
      </w:r>
      <w:r w:rsidR="0072012F" w:rsidRPr="00831B03">
        <w:rPr>
          <w:b w:val="0"/>
        </w:rPr>
        <w:t xml:space="preserve">available only to the </w:t>
      </w:r>
      <w:r w:rsidR="0072012F">
        <w:rPr>
          <w:b w:val="0"/>
        </w:rPr>
        <w:t>CR of Record serving a</w:t>
      </w:r>
      <w:r w:rsidR="0072012F" w:rsidRPr="00831B03">
        <w:rPr>
          <w:b w:val="0"/>
        </w:rPr>
        <w:t xml:space="preserve"> particular customer’s premise.  This data includes premise </w:t>
      </w:r>
      <w:r w:rsidR="0072012F">
        <w:rPr>
          <w:b w:val="0"/>
        </w:rPr>
        <w:t xml:space="preserve">specific </w:t>
      </w:r>
      <w:r w:rsidR="0072012F" w:rsidRPr="00831B03">
        <w:rPr>
          <w:b w:val="0"/>
        </w:rPr>
        <w:t xml:space="preserve">information concerning rate class, permit requirements, service voltage, meter information and more.  In addition, CRIP provides specific transactional </w:t>
      </w:r>
      <w:r w:rsidR="0072012F">
        <w:rPr>
          <w:b w:val="0"/>
        </w:rPr>
        <w:t xml:space="preserve">status </w:t>
      </w:r>
      <w:r w:rsidR="0072012F" w:rsidRPr="00831B03">
        <w:rPr>
          <w:b w:val="0"/>
        </w:rPr>
        <w:t>data for service</w:t>
      </w:r>
      <w:r w:rsidR="0072012F">
        <w:rPr>
          <w:b w:val="0"/>
        </w:rPr>
        <w:t xml:space="preserve"> order</w:t>
      </w:r>
      <w:r w:rsidR="0072012F" w:rsidRPr="00831B03">
        <w:rPr>
          <w:b w:val="0"/>
        </w:rPr>
        <w:t xml:space="preserve"> and enrollment </w:t>
      </w:r>
      <w:r w:rsidR="0072012F">
        <w:rPr>
          <w:b w:val="0"/>
        </w:rPr>
        <w:t>transactions</w:t>
      </w:r>
      <w:r w:rsidR="0072012F" w:rsidRPr="00831B03">
        <w:rPr>
          <w:b w:val="0"/>
        </w:rPr>
        <w:t xml:space="preserve">, usage data, and usage and invoice transaction information.  Having this data available to the </w:t>
      </w:r>
      <w:r w:rsidR="0072012F">
        <w:rPr>
          <w:b w:val="0"/>
        </w:rPr>
        <w:t>CRs in a secure manner on a 24</w:t>
      </w:r>
      <w:r w:rsidR="0072012F" w:rsidRPr="00831B03">
        <w:rPr>
          <w:b w:val="0"/>
        </w:rPr>
        <w:t>/7 automated basis has elim</w:t>
      </w:r>
      <w:r w:rsidR="0072012F">
        <w:rPr>
          <w:b w:val="0"/>
        </w:rPr>
        <w:t xml:space="preserve">inated many </w:t>
      </w:r>
      <w:r w:rsidR="0072012F" w:rsidRPr="00831B03">
        <w:rPr>
          <w:b w:val="0"/>
        </w:rPr>
        <w:t xml:space="preserve">e-mails and telephone calls </w:t>
      </w:r>
      <w:r w:rsidR="0072012F">
        <w:rPr>
          <w:b w:val="0"/>
        </w:rPr>
        <w:t xml:space="preserve">from CRs to Electric Market Relation’s Account Management </w:t>
      </w:r>
      <w:r w:rsidR="4B9074E5">
        <w:rPr>
          <w:b w:val="0"/>
        </w:rPr>
        <w:t>s</w:t>
      </w:r>
      <w:r w:rsidR="02062D6A">
        <w:rPr>
          <w:b w:val="0"/>
        </w:rPr>
        <w:t>taff</w:t>
      </w:r>
      <w:r w:rsidR="0072012F">
        <w:rPr>
          <w:b w:val="0"/>
        </w:rPr>
        <w:t xml:space="preserve"> and the CenterPoint Houston call center </w:t>
      </w:r>
      <w:r w:rsidR="0072012F" w:rsidRPr="00831B03">
        <w:rPr>
          <w:b w:val="0"/>
        </w:rPr>
        <w:t>t</w:t>
      </w:r>
      <w:r w:rsidR="0072012F">
        <w:rPr>
          <w:b w:val="0"/>
        </w:rPr>
        <w:t xml:space="preserve">hat would have otherwise been required to </w:t>
      </w:r>
      <w:r w:rsidR="0072012F" w:rsidRPr="00831B03">
        <w:rPr>
          <w:b w:val="0"/>
        </w:rPr>
        <w:t xml:space="preserve">obtain this information </w:t>
      </w:r>
      <w:r w:rsidR="0072012F">
        <w:rPr>
          <w:b w:val="0"/>
        </w:rPr>
        <w:t>necessary for</w:t>
      </w:r>
      <w:r w:rsidR="0072012F" w:rsidRPr="00831B03">
        <w:rPr>
          <w:b w:val="0"/>
        </w:rPr>
        <w:t xml:space="preserve"> daily </w:t>
      </w:r>
      <w:r w:rsidR="0072012F">
        <w:rPr>
          <w:b w:val="0"/>
        </w:rPr>
        <w:t xml:space="preserve">CR </w:t>
      </w:r>
      <w:r w:rsidR="0072012F" w:rsidRPr="00831B03">
        <w:rPr>
          <w:b w:val="0"/>
        </w:rPr>
        <w:t xml:space="preserve">operations.  </w:t>
      </w:r>
      <w:bookmarkStart w:id="20" w:name="_Hlk148342553"/>
      <w:r w:rsidR="003E30BF">
        <w:rPr>
          <w:b w:val="0"/>
        </w:rPr>
        <w:t xml:space="preserve">Following a major upgrade in </w:t>
      </w:r>
      <w:r w:rsidR="000E11BB">
        <w:rPr>
          <w:b w:val="0"/>
        </w:rPr>
        <w:t xml:space="preserve">early 2023, CRIP also provides the ability for CRs to upload “Safety Net” </w:t>
      </w:r>
      <w:r w:rsidR="3AA0D2BD">
        <w:rPr>
          <w:b w:val="0"/>
        </w:rPr>
        <w:t>M</w:t>
      </w:r>
      <w:r w:rsidR="3C4578BD">
        <w:rPr>
          <w:b w:val="0"/>
        </w:rPr>
        <w:t>ove-</w:t>
      </w:r>
      <w:r w:rsidR="24B30C61">
        <w:rPr>
          <w:b w:val="0"/>
        </w:rPr>
        <w:t>I</w:t>
      </w:r>
      <w:r w:rsidR="3C4578BD">
        <w:rPr>
          <w:b w:val="0"/>
        </w:rPr>
        <w:t>n</w:t>
      </w:r>
      <w:r w:rsidR="000E11BB">
        <w:rPr>
          <w:b w:val="0"/>
        </w:rPr>
        <w:t xml:space="preserve"> requests, which are a market</w:t>
      </w:r>
      <w:r w:rsidR="00593CF3">
        <w:rPr>
          <w:b w:val="0"/>
        </w:rPr>
        <w:t xml:space="preserve"> workaround for instances in</w:t>
      </w:r>
      <w:r w:rsidR="00732FCA">
        <w:rPr>
          <w:b w:val="0"/>
        </w:rPr>
        <w:t xml:space="preserve"> CRs need to energize service outside of the normal transactional process.  </w:t>
      </w:r>
      <w:r w:rsidR="00827E43">
        <w:rPr>
          <w:b w:val="0"/>
        </w:rPr>
        <w:t xml:space="preserve">CRIP’s Safety Net functionality </w:t>
      </w:r>
      <w:r w:rsidR="002D529E">
        <w:rPr>
          <w:b w:val="0"/>
        </w:rPr>
        <w:t xml:space="preserve">automates a previously manual process. </w:t>
      </w:r>
      <w:bookmarkEnd w:id="20"/>
      <w:r w:rsidR="002D529E">
        <w:rPr>
          <w:b w:val="0"/>
        </w:rPr>
        <w:t xml:space="preserve"> </w:t>
      </w:r>
    </w:p>
    <w:p w14:paraId="4FA8753A" w14:textId="15F548FB" w:rsidR="0072012F" w:rsidRDefault="78421509" w:rsidP="27A05F86">
      <w:pPr>
        <w:pStyle w:val="BodyText"/>
        <w:widowControl/>
        <w:pBdr>
          <w:left w:val="none" w:sz="0" w:space="0" w:color="auto"/>
        </w:pBdr>
        <w:ind w:left="720" w:firstLine="720"/>
        <w:jc w:val="both"/>
        <w:rPr>
          <w:b w:val="0"/>
          <w:color w:val="000000" w:themeColor="text1"/>
        </w:rPr>
      </w:pPr>
      <w:r>
        <w:rPr>
          <w:b w:val="0"/>
        </w:rPr>
        <w:lastRenderedPageBreak/>
        <w:t>CRIP also provides a usage history request function, which allows CRs and third</w:t>
      </w:r>
      <w:r w:rsidR="416DE66F">
        <w:rPr>
          <w:b w:val="0"/>
        </w:rPr>
        <w:t>-</w:t>
      </w:r>
      <w:r>
        <w:rPr>
          <w:b w:val="0"/>
        </w:rPr>
        <w:t>party service providers to obtain usage history for prospective customers.</w:t>
      </w:r>
      <w:r w:rsidRPr="27A05F86">
        <w:rPr>
          <w:b w:val="0"/>
          <w:color w:val="000000" w:themeColor="text1"/>
        </w:rPr>
        <w:t xml:space="preserve">  This function is essentially an online version of the market’s Letter of Authorization </w:t>
      </w:r>
      <w:r w:rsidR="7356119E" w:rsidRPr="27A05F86">
        <w:rPr>
          <w:b w:val="0"/>
          <w:color w:val="000000" w:themeColor="text1"/>
        </w:rPr>
        <w:t xml:space="preserve">process, </w:t>
      </w:r>
      <w:r w:rsidR="2BDA48F6" w:rsidRPr="27A05F86">
        <w:rPr>
          <w:b w:val="0"/>
          <w:color w:val="000000" w:themeColor="text1"/>
        </w:rPr>
        <w:t>and greatly reduces</w:t>
      </w:r>
      <w:r w:rsidRPr="27A05F86">
        <w:rPr>
          <w:b w:val="0"/>
          <w:color w:val="000000" w:themeColor="text1"/>
        </w:rPr>
        <w:t xml:space="preserve"> the volume of manual usage requests fulfilled by CenterPoint Houston.  </w:t>
      </w:r>
      <w:r w:rsidR="02062D6A" w:rsidRPr="1E8A8C27">
        <w:rPr>
          <w:b w:val="0"/>
          <w:color w:val="000000" w:themeColor="text1"/>
        </w:rPr>
        <w:t xml:space="preserve">In </w:t>
      </w:r>
      <w:r w:rsidR="7356119E" w:rsidRPr="27A05F86">
        <w:rPr>
          <w:b w:val="0"/>
          <w:color w:val="000000" w:themeColor="text1"/>
        </w:rPr>
        <w:t>2023</w:t>
      </w:r>
      <w:r w:rsidR="604E0D4D" w:rsidRPr="1E8A8C27">
        <w:rPr>
          <w:b w:val="0"/>
          <w:color w:val="000000" w:themeColor="text1"/>
        </w:rPr>
        <w:t>,</w:t>
      </w:r>
      <w:r w:rsidRPr="27A05F86">
        <w:rPr>
          <w:b w:val="0"/>
          <w:color w:val="000000" w:themeColor="text1"/>
        </w:rPr>
        <w:t xml:space="preserve"> the CRIP usage history function fulfilled </w:t>
      </w:r>
      <w:r w:rsidR="158880E4" w:rsidRPr="1E8A8C27">
        <w:rPr>
          <w:b w:val="0"/>
          <w:color w:val="000000" w:themeColor="text1"/>
        </w:rPr>
        <w:t>662,463</w:t>
      </w:r>
      <w:r w:rsidRPr="1E8A8C27">
        <w:rPr>
          <w:b w:val="0"/>
          <w:color w:val="000000" w:themeColor="text1"/>
        </w:rPr>
        <w:t xml:space="preserve"> requests for usage history</w:t>
      </w:r>
      <w:r w:rsidRPr="27A05F86">
        <w:rPr>
          <w:b w:val="0"/>
          <w:color w:val="000000" w:themeColor="text1"/>
        </w:rPr>
        <w:t xml:space="preserve">.  </w:t>
      </w:r>
    </w:p>
    <w:p w14:paraId="0CA619ED" w14:textId="390682BE" w:rsidR="0072012F" w:rsidRPr="00183989" w:rsidRDefault="78421509" w:rsidP="27A05F86">
      <w:pPr>
        <w:pStyle w:val="BodyText"/>
        <w:widowControl/>
        <w:pBdr>
          <w:left w:val="none" w:sz="0" w:space="0" w:color="auto"/>
        </w:pBdr>
        <w:ind w:left="720" w:firstLine="720"/>
        <w:jc w:val="both"/>
        <w:rPr>
          <w:bCs/>
        </w:rPr>
      </w:pPr>
      <w:r w:rsidRPr="27A05F86">
        <w:rPr>
          <w:color w:val="000000" w:themeColor="text1"/>
        </w:rPr>
        <w:t>The Demand and Energy Information System (“DEIS”).</w:t>
      </w:r>
      <w:r w:rsidRPr="27A05F86">
        <w:rPr>
          <w:b w:val="0"/>
          <w:color w:val="000000" w:themeColor="text1"/>
        </w:rPr>
        <w:t xml:space="preserve">  DEIS is another automated system that is utilized by end-use retail customers, including Interval Data Recorder (“IDR”) customers whose interval data is not on SMT, to access usage information about their specific premises.  </w:t>
      </w:r>
      <w:r w:rsidR="02062D6A" w:rsidRPr="1E8A8C27">
        <w:rPr>
          <w:b w:val="0"/>
          <w:color w:val="000000" w:themeColor="text1"/>
        </w:rPr>
        <w:t xml:space="preserve">In </w:t>
      </w:r>
      <w:r w:rsidR="357FD5E2" w:rsidRPr="00183989">
        <w:rPr>
          <w:b w:val="0"/>
          <w:color w:val="000000" w:themeColor="text1"/>
        </w:rPr>
        <w:t>2023</w:t>
      </w:r>
      <w:r w:rsidRPr="00183989">
        <w:rPr>
          <w:b w:val="0"/>
          <w:color w:val="000000" w:themeColor="text1"/>
        </w:rPr>
        <w:t>,</w:t>
      </w:r>
      <w:r w:rsidRPr="27A05F86">
        <w:rPr>
          <w:b w:val="0"/>
          <w:color w:val="000000" w:themeColor="text1"/>
        </w:rPr>
        <w:t xml:space="preserve"> DEIS was utilized </w:t>
      </w:r>
      <w:r w:rsidR="4DF912BA" w:rsidRPr="1E8A8C27">
        <w:rPr>
          <w:b w:val="0"/>
          <w:color w:val="000000" w:themeColor="text1"/>
        </w:rPr>
        <w:t>111</w:t>
      </w:r>
      <w:r w:rsidR="285017A0" w:rsidRPr="27A05F86">
        <w:rPr>
          <w:b w:val="0"/>
          <w:color w:val="000000" w:themeColor="text1"/>
        </w:rPr>
        <w:t>,234</w:t>
      </w:r>
      <w:r w:rsidRPr="27A05F86">
        <w:rPr>
          <w:b w:val="0"/>
          <w:color w:val="000000" w:themeColor="text1"/>
        </w:rPr>
        <w:t xml:space="preserve"> times to obtain this usage information.  DEIS is designed for and </w:t>
      </w:r>
      <w:r w:rsidR="44C84B53" w:rsidRPr="1E8A8C27">
        <w:rPr>
          <w:b w:val="0"/>
          <w:color w:val="000000" w:themeColor="text1"/>
        </w:rPr>
        <w:t>used</w:t>
      </w:r>
      <w:r w:rsidRPr="27A05F86">
        <w:rPr>
          <w:b w:val="0"/>
          <w:color w:val="000000" w:themeColor="text1"/>
        </w:rPr>
        <w:t xml:space="preserve"> by end-use retail customers, and empowers those customers to obtain usage information from CenterPoint Houston’s automated system without the need to contact CenterPoint Houston or their CR.</w:t>
      </w:r>
    </w:p>
    <w:p w14:paraId="36EA5CB8" w14:textId="5D01AFCB" w:rsidR="00FD5856" w:rsidRPr="00A45675" w:rsidRDefault="003748E9" w:rsidP="00BC201F">
      <w:pPr>
        <w:pStyle w:val="CROutline2"/>
        <w:numPr>
          <w:ilvl w:val="1"/>
          <w:numId w:val="9"/>
        </w:numPr>
        <w:jc w:val="center"/>
        <w:rPr>
          <w:bCs/>
          <w:caps/>
          <w:u w:val="single"/>
        </w:rPr>
      </w:pPr>
      <w:bookmarkStart w:id="21" w:name="_Toc159491393"/>
      <w:r w:rsidRPr="00A45675">
        <w:rPr>
          <w:bCs/>
          <w:caps/>
          <w:u w:val="single"/>
        </w:rPr>
        <w:t>Program Management</w:t>
      </w:r>
      <w:bookmarkEnd w:id="21"/>
    </w:p>
    <w:p w14:paraId="1D450230" w14:textId="77777777" w:rsidR="009563D1" w:rsidRDefault="009563D1" w:rsidP="009563D1">
      <w:pPr>
        <w:pStyle w:val="BodyText"/>
        <w:keepNext/>
        <w:keepLines/>
        <w:widowControl/>
        <w:pBdr>
          <w:left w:val="none" w:sz="0" w:space="0" w:color="auto"/>
        </w:pBdr>
        <w:ind w:left="720" w:hanging="720"/>
        <w:jc w:val="both"/>
      </w:pPr>
      <w:r>
        <w:t>Q.</w:t>
      </w:r>
      <w:r>
        <w:tab/>
        <w:t>WHAT IS THE PROGRAM MANAGEMENT GROUP AND WHAT ARE ITS FUNCTIONS?</w:t>
      </w:r>
    </w:p>
    <w:p w14:paraId="7B719BEA" w14:textId="407059CF" w:rsidR="009563D1" w:rsidRDefault="009563D1" w:rsidP="009563D1">
      <w:pPr>
        <w:pStyle w:val="BodyText"/>
        <w:widowControl/>
        <w:pBdr>
          <w:left w:val="none" w:sz="0" w:space="0" w:color="auto"/>
        </w:pBdr>
        <w:ind w:left="720" w:hanging="720"/>
        <w:jc w:val="both"/>
        <w:rPr>
          <w:b w:val="0"/>
        </w:rPr>
      </w:pPr>
      <w:r>
        <w:rPr>
          <w:b w:val="0"/>
        </w:rPr>
        <w:t>A.</w:t>
      </w:r>
      <w:r>
        <w:tab/>
      </w:r>
      <w:r>
        <w:rPr>
          <w:b w:val="0"/>
        </w:rPr>
        <w:t xml:space="preserve">The Program Management group primarily manages CenterPoint Houston’s responsibilities related to the </w:t>
      </w:r>
      <w:r w:rsidR="207BE396">
        <w:rPr>
          <w:b w:val="0"/>
        </w:rPr>
        <w:t xml:space="preserve">SMT portal.  </w:t>
      </w:r>
      <w:r>
        <w:rPr>
          <w:b w:val="0"/>
        </w:rPr>
        <w:t xml:space="preserve">SMT is </w:t>
      </w:r>
      <w:r w:rsidR="207BE396">
        <w:rPr>
          <w:b w:val="0"/>
        </w:rPr>
        <w:t xml:space="preserve">a </w:t>
      </w:r>
      <w:r>
        <w:rPr>
          <w:b w:val="0"/>
        </w:rPr>
        <w:t xml:space="preserve"> website that provides access to smart meter data to end-use retail customers, CRs, and other customer-authorized third parties</w:t>
      </w:r>
      <w:r w:rsidR="72430582">
        <w:rPr>
          <w:b w:val="0"/>
        </w:rPr>
        <w:t xml:space="preserve"> in the ERCOT region</w:t>
      </w:r>
      <w:r w:rsidR="207BE396">
        <w:rPr>
          <w:b w:val="0"/>
        </w:rPr>
        <w:t>.</w:t>
      </w:r>
      <w:r>
        <w:rPr>
          <w:b w:val="0"/>
        </w:rPr>
        <w:t xml:space="preserve">  SMT is jointly owned and operated by CenterPoint Houston, Oncor Electric Delivery Company, </w:t>
      </w:r>
      <w:r w:rsidR="00CB2341">
        <w:rPr>
          <w:b w:val="0"/>
        </w:rPr>
        <w:t>LLC,</w:t>
      </w:r>
      <w:r>
        <w:rPr>
          <w:b w:val="0"/>
        </w:rPr>
        <w:t xml:space="preserve"> AEP Texas Inc., and Texas</w:t>
      </w:r>
      <w:r w:rsidR="00CB2341">
        <w:rPr>
          <w:b w:val="0"/>
        </w:rPr>
        <w:t>-</w:t>
      </w:r>
      <w:r>
        <w:rPr>
          <w:b w:val="0"/>
        </w:rPr>
        <w:t xml:space="preserve">New Mexico Power Company, under a </w:t>
      </w:r>
      <w:r w:rsidR="00477929">
        <w:rPr>
          <w:b w:val="0"/>
        </w:rPr>
        <w:t xml:space="preserve">Joint Development and </w:t>
      </w:r>
      <w:r w:rsidR="00477929">
        <w:rPr>
          <w:b w:val="0"/>
        </w:rPr>
        <w:lastRenderedPageBreak/>
        <w:t>Operation Agreement (“</w:t>
      </w:r>
      <w:r>
        <w:rPr>
          <w:b w:val="0"/>
        </w:rPr>
        <w:t>JDOA</w:t>
      </w:r>
      <w:r w:rsidR="00477929">
        <w:rPr>
          <w:b w:val="0"/>
        </w:rPr>
        <w:t>”)</w:t>
      </w:r>
      <w:r>
        <w:rPr>
          <w:b w:val="0"/>
        </w:rPr>
        <w:t xml:space="preserve">.  The parties to the JDOA contract with </w:t>
      </w:r>
      <w:r w:rsidR="00F403ED">
        <w:rPr>
          <w:b w:val="0"/>
        </w:rPr>
        <w:t>a vendor</w:t>
      </w:r>
      <w:r>
        <w:rPr>
          <w:b w:val="0"/>
        </w:rPr>
        <w:t xml:space="preserve"> for the design, development, and ongoing operation of SMT.  Program Management works with the parties to the JDOA to ensure that SMT meets the Commission and </w:t>
      </w:r>
      <w:r w:rsidR="2EAA7927">
        <w:rPr>
          <w:b w:val="0"/>
        </w:rPr>
        <w:t>ERCOT rules</w:t>
      </w:r>
      <w:r>
        <w:rPr>
          <w:b w:val="0"/>
        </w:rPr>
        <w:t xml:space="preserve"> and </w:t>
      </w:r>
      <w:r w:rsidR="207BE396">
        <w:rPr>
          <w:b w:val="0"/>
        </w:rPr>
        <w:t>requirements, and</w:t>
      </w:r>
      <w:r>
        <w:rPr>
          <w:b w:val="0"/>
        </w:rPr>
        <w:t xml:space="preserve"> interfaces seamlessly with CenterPoint Houston’s systems.  </w:t>
      </w:r>
    </w:p>
    <w:p w14:paraId="72835DCC" w14:textId="77777777" w:rsidR="009563D1" w:rsidRPr="00747361" w:rsidRDefault="009563D1" w:rsidP="009563D1">
      <w:pPr>
        <w:pStyle w:val="BodyText"/>
        <w:keepNext/>
        <w:widowControl/>
        <w:pBdr>
          <w:left w:val="none" w:sz="0" w:space="0" w:color="auto"/>
        </w:pBdr>
        <w:ind w:left="720" w:hanging="720"/>
        <w:jc w:val="both"/>
      </w:pPr>
      <w:r w:rsidRPr="00747361">
        <w:t>Q.</w:t>
      </w:r>
      <w:r w:rsidRPr="00747361">
        <w:tab/>
        <w:t>HOW ARE THE COSTS RELATED TO SMT TREATED IN THIS CASE?</w:t>
      </w:r>
    </w:p>
    <w:p w14:paraId="34B25EC2" w14:textId="02FB256B" w:rsidR="009563D1" w:rsidRPr="00747361" w:rsidRDefault="009563D1" w:rsidP="009563D1">
      <w:pPr>
        <w:pStyle w:val="BodyText"/>
        <w:widowControl/>
        <w:pBdr>
          <w:left w:val="none" w:sz="0" w:space="0" w:color="auto"/>
        </w:pBdr>
        <w:ind w:left="720" w:hanging="720"/>
        <w:jc w:val="both"/>
        <w:rPr>
          <w:b w:val="0"/>
        </w:rPr>
      </w:pPr>
      <w:r w:rsidRPr="00747361">
        <w:rPr>
          <w:b w:val="0"/>
        </w:rPr>
        <w:t>A.</w:t>
      </w:r>
      <w:r w:rsidRPr="00747361">
        <w:rPr>
          <w:b w:val="0"/>
        </w:rPr>
        <w:tab/>
        <w:t>The costs associated with the original version of SMT were recovered and reconciled in CenterPoint Houston’s AMS surcharge proceedings.  Since the final reconciliation of CenterPoint Houston’s AMS costs in Docket No. 47364,</w:t>
      </w:r>
      <w:r w:rsidRPr="00747361">
        <w:rPr>
          <w:rStyle w:val="FootnoteReference"/>
          <w:b w:val="0"/>
        </w:rPr>
        <w:footnoteReference w:id="3"/>
      </w:r>
      <w:r w:rsidRPr="00747361">
        <w:rPr>
          <w:b w:val="0"/>
        </w:rPr>
        <w:t xml:space="preserve"> SMT costs have been accumulated in a regulatory asset for recovery in a future rate case.  The regulatory asset and associated recovery is discussed by Ms. Colvin.</w:t>
      </w:r>
      <w:r w:rsidR="00225975" w:rsidRPr="00747361">
        <w:rPr>
          <w:b w:val="0"/>
        </w:rPr>
        <w:t xml:space="preserve"> </w:t>
      </w:r>
    </w:p>
    <w:p w14:paraId="39EA17DC" w14:textId="77777777" w:rsidR="009563D1" w:rsidRPr="00747361" w:rsidRDefault="009563D1" w:rsidP="009563D1">
      <w:pPr>
        <w:pStyle w:val="BodyText"/>
        <w:widowControl/>
        <w:pBdr>
          <w:left w:val="none" w:sz="0" w:space="0" w:color="auto"/>
        </w:pBdr>
        <w:ind w:left="720" w:hanging="720"/>
        <w:jc w:val="both"/>
      </w:pPr>
      <w:r w:rsidRPr="00747361">
        <w:t>Q.</w:t>
      </w:r>
      <w:r w:rsidRPr="00747361">
        <w:tab/>
        <w:t>HOW ARE CENTERPOINT HOUSTON’S SMT COSTS DIFFERENT FROM OTHER ONGOING EXPENSES?</w:t>
      </w:r>
    </w:p>
    <w:p w14:paraId="64A23587" w14:textId="481207BB" w:rsidR="009563D1" w:rsidRPr="00747361" w:rsidRDefault="009563D1" w:rsidP="009563D1">
      <w:pPr>
        <w:pStyle w:val="BodyText"/>
        <w:widowControl/>
        <w:pBdr>
          <w:left w:val="none" w:sz="0" w:space="0" w:color="auto"/>
        </w:pBdr>
        <w:ind w:left="720" w:hanging="720"/>
        <w:jc w:val="both"/>
        <w:rPr>
          <w:b w:val="0"/>
        </w:rPr>
      </w:pPr>
      <w:r w:rsidRPr="00747361">
        <w:rPr>
          <w:b w:val="0"/>
        </w:rPr>
        <w:t>A.</w:t>
      </w:r>
      <w:r w:rsidRPr="00747361">
        <w:tab/>
      </w:r>
      <w:r w:rsidRPr="00747361">
        <w:rPr>
          <w:b w:val="0"/>
        </w:rPr>
        <w:t xml:space="preserve">Because SMT is operated in conjunction with </w:t>
      </w:r>
      <w:r w:rsidR="79B21AA4" w:rsidRPr="00747361">
        <w:rPr>
          <w:b w:val="0"/>
        </w:rPr>
        <w:t xml:space="preserve">parties to </w:t>
      </w:r>
      <w:r w:rsidRPr="00747361">
        <w:rPr>
          <w:b w:val="0"/>
        </w:rPr>
        <w:t xml:space="preserve">the JDOA under </w:t>
      </w:r>
      <w:r w:rsidR="793AA9B4" w:rsidRPr="00747361">
        <w:rPr>
          <w:b w:val="0"/>
        </w:rPr>
        <w:t>a</w:t>
      </w:r>
      <w:r w:rsidRPr="00747361">
        <w:rPr>
          <w:b w:val="0"/>
        </w:rPr>
        <w:t xml:space="preserve"> contract with </w:t>
      </w:r>
      <w:r w:rsidR="0C61ABAF" w:rsidRPr="00747361">
        <w:rPr>
          <w:b w:val="0"/>
        </w:rPr>
        <w:t>a third-party service provider</w:t>
      </w:r>
      <w:r w:rsidRPr="00747361">
        <w:rPr>
          <w:b w:val="0"/>
        </w:rPr>
        <w:t xml:space="preserve">, CenterPoint Houston does not have the same ability to manage and reduce costs associated with SMT in the same way that </w:t>
      </w:r>
      <w:r w:rsidR="79CC1E67" w:rsidRPr="00747361">
        <w:rPr>
          <w:b w:val="0"/>
        </w:rPr>
        <w:t xml:space="preserve">it </w:t>
      </w:r>
      <w:r w:rsidR="207BE396" w:rsidRPr="00747361">
        <w:rPr>
          <w:b w:val="0"/>
        </w:rPr>
        <w:t>manage</w:t>
      </w:r>
      <w:r w:rsidR="07D53CFF" w:rsidRPr="00747361">
        <w:rPr>
          <w:b w:val="0"/>
        </w:rPr>
        <w:t>s</w:t>
      </w:r>
      <w:r w:rsidRPr="00747361">
        <w:rPr>
          <w:b w:val="0"/>
        </w:rPr>
        <w:t xml:space="preserve"> the costs of internal operations.</w:t>
      </w:r>
      <w:r w:rsidR="00EF24EE" w:rsidRPr="00747361">
        <w:rPr>
          <w:b w:val="0"/>
        </w:rPr>
        <w:t xml:space="preserve">  SMT </w:t>
      </w:r>
      <w:r w:rsidR="00345F4D" w:rsidRPr="00747361">
        <w:rPr>
          <w:b w:val="0"/>
        </w:rPr>
        <w:t xml:space="preserve">O&amp;M costs are negotiated </w:t>
      </w:r>
      <w:r w:rsidR="00582727" w:rsidRPr="00747361">
        <w:rPr>
          <w:b w:val="0"/>
        </w:rPr>
        <w:t>as part of the contract between the SMT host and the JDOA</w:t>
      </w:r>
      <w:r w:rsidR="0054737C" w:rsidRPr="00747361">
        <w:rPr>
          <w:b w:val="0"/>
        </w:rPr>
        <w:t xml:space="preserve">.  </w:t>
      </w:r>
      <w:r w:rsidR="003F33AE" w:rsidRPr="00747361">
        <w:rPr>
          <w:b w:val="0"/>
        </w:rPr>
        <w:t>Du</w:t>
      </w:r>
      <w:r w:rsidR="008728AA" w:rsidRPr="00747361">
        <w:rPr>
          <w:b w:val="0"/>
        </w:rPr>
        <w:t xml:space="preserve">ring the Test Year, CenterPoint Houston’s share of SMT O&amp;M expenses was </w:t>
      </w:r>
      <w:r w:rsidR="4A9F577F" w:rsidRPr="00747361">
        <w:rPr>
          <w:b w:val="0"/>
        </w:rPr>
        <w:t>$</w:t>
      </w:r>
      <w:r w:rsidR="00E737D1" w:rsidRPr="00747361">
        <w:rPr>
          <w:b w:val="0"/>
        </w:rPr>
        <w:t>3.2 million</w:t>
      </w:r>
      <w:r w:rsidR="6958D6E0" w:rsidRPr="00747361">
        <w:rPr>
          <w:b w:val="0"/>
        </w:rPr>
        <w:t>.</w:t>
      </w:r>
      <w:r w:rsidR="00C87E05" w:rsidRPr="00747361">
        <w:rPr>
          <w:b w:val="0"/>
        </w:rPr>
        <w:t xml:space="preserve">  </w:t>
      </w:r>
    </w:p>
    <w:p w14:paraId="3D52A91E" w14:textId="77777777" w:rsidR="00896D77" w:rsidRDefault="00896D77" w:rsidP="005E36BB">
      <w:pPr>
        <w:suppressLineNumbers/>
        <w:rPr>
          <w:b/>
          <w:sz w:val="24"/>
          <w:szCs w:val="24"/>
          <w:u w:val="single"/>
        </w:rPr>
      </w:pPr>
      <w:r>
        <w:br w:type="page"/>
      </w:r>
    </w:p>
    <w:p w14:paraId="1E7E8BDA" w14:textId="7CEA2321" w:rsidR="00FD5856" w:rsidRPr="007F177C" w:rsidRDefault="00FE36CD" w:rsidP="007F177C">
      <w:pPr>
        <w:pStyle w:val="CROutline1"/>
        <w:tabs>
          <w:tab w:val="clear" w:pos="540"/>
        </w:tabs>
        <w:ind w:left="720" w:hanging="720"/>
        <w:rPr>
          <w:caps/>
        </w:rPr>
      </w:pPr>
      <w:bookmarkStart w:id="22" w:name="_Toc159491394"/>
      <w:r w:rsidRPr="007F177C">
        <w:rPr>
          <w:caps/>
        </w:rPr>
        <w:lastRenderedPageBreak/>
        <w:t>Cost Control</w:t>
      </w:r>
      <w:bookmarkEnd w:id="22"/>
    </w:p>
    <w:p w14:paraId="054DCD48" w14:textId="004843F7" w:rsidR="00992FDC" w:rsidRDefault="00992FDC" w:rsidP="00992FDC">
      <w:pPr>
        <w:pStyle w:val="BodyText"/>
        <w:widowControl/>
        <w:pBdr>
          <w:left w:val="none" w:sz="0" w:space="0" w:color="auto"/>
        </w:pBdr>
        <w:ind w:left="720" w:hanging="720"/>
        <w:jc w:val="both"/>
      </w:pPr>
      <w:r>
        <w:t>Q.</w:t>
      </w:r>
      <w:r>
        <w:tab/>
        <w:t xml:space="preserve">WHAT DOES </w:t>
      </w:r>
      <w:r w:rsidR="004C266F">
        <w:t>EMO</w:t>
      </w:r>
      <w:r>
        <w:t xml:space="preserve"> DO TO BUDGET, MONITOR</w:t>
      </w:r>
      <w:r w:rsidR="00896D77">
        <w:t>,</w:t>
      </w:r>
      <w:r>
        <w:t xml:space="preserve"> AND CONTROL COSTS?</w:t>
      </w:r>
    </w:p>
    <w:p w14:paraId="14C90206" w14:textId="3A60AFF8" w:rsidR="00992FDC" w:rsidRPr="00F016AE" w:rsidRDefault="00992FDC" w:rsidP="00992FDC">
      <w:pPr>
        <w:pStyle w:val="BodyText"/>
        <w:widowControl/>
        <w:pBdr>
          <w:left w:val="none" w:sz="0" w:space="0" w:color="auto"/>
        </w:pBdr>
        <w:ind w:left="720" w:hanging="720"/>
        <w:jc w:val="both"/>
        <w:rPr>
          <w:b w:val="0"/>
        </w:rPr>
      </w:pPr>
      <w:r>
        <w:rPr>
          <w:b w:val="0"/>
        </w:rPr>
        <w:t>A.</w:t>
      </w:r>
      <w:r>
        <w:tab/>
      </w:r>
      <w:r>
        <w:rPr>
          <w:b w:val="0"/>
        </w:rPr>
        <w:t xml:space="preserve">The preparation and use of </w:t>
      </w:r>
      <w:r w:rsidR="004C266F">
        <w:rPr>
          <w:b w:val="0"/>
        </w:rPr>
        <w:t>EMO’s</w:t>
      </w:r>
      <w:r>
        <w:rPr>
          <w:b w:val="0"/>
        </w:rPr>
        <w:t xml:space="preserve"> budget is the primary way in which the Company budgets, monitors, and controls costs for </w:t>
      </w:r>
      <w:r w:rsidR="004C266F">
        <w:rPr>
          <w:b w:val="0"/>
        </w:rPr>
        <w:t>EMO</w:t>
      </w:r>
      <w:r w:rsidR="4826D92E">
        <w:rPr>
          <w:b w:val="0"/>
        </w:rPr>
        <w:t>.</w:t>
      </w:r>
      <w:r>
        <w:rPr>
          <w:b w:val="0"/>
        </w:rPr>
        <w:t xml:space="preserve">  The overall budget planning for the Company is under the direct management </w:t>
      </w:r>
      <w:r w:rsidRPr="00183989">
        <w:rPr>
          <w:b w:val="0"/>
        </w:rPr>
        <w:t xml:space="preserve">of </w:t>
      </w:r>
      <w:r w:rsidR="03F1F970" w:rsidRPr="00183989">
        <w:rPr>
          <w:b w:val="0"/>
        </w:rPr>
        <w:t>Darr</w:t>
      </w:r>
      <w:r w:rsidR="2B602575" w:rsidRPr="00183989">
        <w:rPr>
          <w:b w:val="0"/>
        </w:rPr>
        <w:t>e</w:t>
      </w:r>
      <w:r w:rsidR="03F1F970" w:rsidRPr="00183989">
        <w:rPr>
          <w:b w:val="0"/>
        </w:rPr>
        <w:t>n</w:t>
      </w:r>
      <w:r w:rsidR="007A721C" w:rsidRPr="00183989">
        <w:rPr>
          <w:b w:val="0"/>
        </w:rPr>
        <w:t xml:space="preserve"> Storey</w:t>
      </w:r>
      <w:r w:rsidR="4826D92E" w:rsidRPr="00183989">
        <w:rPr>
          <w:b w:val="0"/>
        </w:rPr>
        <w:t>,</w:t>
      </w:r>
      <w:r>
        <w:rPr>
          <w:b w:val="0"/>
        </w:rPr>
        <w:t xml:space="preserve"> who will further describe the overall business planning process in </w:t>
      </w:r>
      <w:r w:rsidR="4826D92E" w:rsidRPr="00183989">
        <w:rPr>
          <w:b w:val="0"/>
        </w:rPr>
        <w:t>h</w:t>
      </w:r>
      <w:r w:rsidR="26A35C80" w:rsidRPr="00183989">
        <w:rPr>
          <w:b w:val="0"/>
        </w:rPr>
        <w:t>is</w:t>
      </w:r>
      <w:r>
        <w:rPr>
          <w:b w:val="0"/>
        </w:rPr>
        <w:t xml:space="preserve"> direct testimony in this proceeding.  </w:t>
      </w:r>
      <w:r w:rsidR="004C266F">
        <w:rPr>
          <w:b w:val="0"/>
        </w:rPr>
        <w:t>The EMO’s</w:t>
      </w:r>
      <w:r>
        <w:rPr>
          <w:b w:val="0"/>
        </w:rPr>
        <w:t xml:space="preserve"> budget is derived as part of this process.  Actual expenses are monitored and managed against budgeted amounts on a monthly basis, and variances are investigated.  </w:t>
      </w:r>
      <w:r w:rsidR="0096609C">
        <w:rPr>
          <w:b w:val="0"/>
        </w:rPr>
        <w:t>Forecasts</w:t>
      </w:r>
      <w:r>
        <w:rPr>
          <w:b w:val="0"/>
        </w:rPr>
        <w:t xml:space="preserve"> and changes to the budget are made monthly to evaluate and analyze spending levels and to maximize system-wide cost control.</w:t>
      </w:r>
    </w:p>
    <w:p w14:paraId="7E5F62DD" w14:textId="77777777" w:rsidR="00992FDC" w:rsidRDefault="00992FDC" w:rsidP="00992FDC">
      <w:pPr>
        <w:pStyle w:val="BodyText"/>
        <w:widowControl/>
        <w:pBdr>
          <w:left w:val="none" w:sz="0" w:space="0" w:color="auto"/>
        </w:pBdr>
        <w:ind w:left="720" w:hanging="720"/>
        <w:jc w:val="both"/>
      </w:pPr>
      <w:r>
        <w:t>Q.</w:t>
      </w:r>
      <w:r>
        <w:tab/>
      </w:r>
      <w:r w:rsidRPr="00F47932">
        <w:t xml:space="preserve">HAS </w:t>
      </w:r>
      <w:r w:rsidRPr="0080131F">
        <w:rPr>
          <w:caps/>
        </w:rPr>
        <w:t>Market Operations</w:t>
      </w:r>
      <w:r w:rsidRPr="005F4479">
        <w:t xml:space="preserve"> UNDERTAKEN INITIATIVES TO </w:t>
      </w:r>
      <w:r>
        <w:t>CONTROL</w:t>
      </w:r>
      <w:r w:rsidRPr="005F4479">
        <w:t xml:space="preserve"> COSTS?</w:t>
      </w:r>
    </w:p>
    <w:p w14:paraId="2C60AB74" w14:textId="4ADEA03E" w:rsidR="00992FDC" w:rsidRPr="002B4C75" w:rsidRDefault="00992FDC" w:rsidP="00992FDC">
      <w:pPr>
        <w:pStyle w:val="BodyText"/>
        <w:widowControl/>
        <w:pBdr>
          <w:left w:val="none" w:sz="0" w:space="0" w:color="auto"/>
        </w:pBdr>
        <w:ind w:left="720" w:hanging="720"/>
        <w:jc w:val="both"/>
        <w:rPr>
          <w:b w:val="0"/>
        </w:rPr>
      </w:pPr>
      <w:r>
        <w:rPr>
          <w:b w:val="0"/>
        </w:rPr>
        <w:t>A.</w:t>
      </w:r>
      <w:r>
        <w:rPr>
          <w:b w:val="0"/>
        </w:rPr>
        <w:tab/>
        <w:t xml:space="preserve">Yes.  Market Operations continuously works to identify and evaluate automated processes and system enhancements that can reduce the manual processing and intervention required to resolve transactional processing issues.  These initiatives allow Market Operations to handle increased transaction volumes and respond to changing market requirements while </w:t>
      </w:r>
      <w:r w:rsidRPr="00183989">
        <w:rPr>
          <w:b w:val="0"/>
        </w:rPr>
        <w:t xml:space="preserve">maintaining stable </w:t>
      </w:r>
      <w:r w:rsidR="00AA79E6" w:rsidRPr="00183989">
        <w:rPr>
          <w:b w:val="0"/>
        </w:rPr>
        <w:t>cost</w:t>
      </w:r>
      <w:r w:rsidR="004719D3" w:rsidRPr="00183989">
        <w:rPr>
          <w:b w:val="0"/>
        </w:rPr>
        <w:t>s</w:t>
      </w:r>
      <w:r>
        <w:rPr>
          <w:b w:val="0"/>
        </w:rPr>
        <w:t xml:space="preserve">. </w:t>
      </w:r>
    </w:p>
    <w:p w14:paraId="139E3BAA" w14:textId="7F89B1EC" w:rsidR="00992FDC" w:rsidRDefault="00992FDC" w:rsidP="00992FDC">
      <w:pPr>
        <w:pStyle w:val="BodyText"/>
        <w:widowControl/>
        <w:pBdr>
          <w:left w:val="none" w:sz="0" w:space="0" w:color="auto"/>
        </w:pBdr>
        <w:ind w:left="720" w:hanging="720"/>
        <w:jc w:val="both"/>
      </w:pPr>
      <w:r>
        <w:t>Q.</w:t>
      </w:r>
      <w:r>
        <w:tab/>
        <w:t>WHAT ARE SOME EXAMPLES OF INITIATIVES THAT HAVE IMPROVED THE EFFICIENCY OF PROCESSES</w:t>
      </w:r>
      <w:r w:rsidRPr="005F4479">
        <w:t>?</w:t>
      </w:r>
    </w:p>
    <w:p w14:paraId="4F6A113D" w14:textId="72E31F58" w:rsidR="00A86FAE" w:rsidRDefault="00A86FAE" w:rsidP="00747361">
      <w:pPr>
        <w:pStyle w:val="BodyText"/>
        <w:widowControl/>
        <w:pBdr>
          <w:left w:val="none" w:sz="0" w:space="0" w:color="auto"/>
        </w:pBdr>
        <w:ind w:left="720" w:hanging="720"/>
        <w:jc w:val="both"/>
      </w:pPr>
      <w:r w:rsidRPr="00AB21B5">
        <w:rPr>
          <w:b w:val="0"/>
          <w:bCs/>
        </w:rPr>
        <w:t>A.</w:t>
      </w:r>
      <w:r>
        <w:tab/>
        <w:t>Continuous Improvement</w:t>
      </w:r>
      <w:r w:rsidR="0B6EB9C5">
        <w:t>.</w:t>
      </w:r>
      <w:r w:rsidR="00747361">
        <w:t xml:space="preserve"> </w:t>
      </w:r>
      <w:r w:rsidR="58133318" w:rsidRPr="27A05F86">
        <w:rPr>
          <w:b w:val="0"/>
        </w:rPr>
        <w:t xml:space="preserve">Over the past two years, EMO embarked on a program to apply Continuous Improvement methods and principles to several of our </w:t>
      </w:r>
      <w:r w:rsidR="58133318" w:rsidRPr="27A05F86">
        <w:rPr>
          <w:b w:val="0"/>
        </w:rPr>
        <w:lastRenderedPageBreak/>
        <w:t xml:space="preserve">processes in an effort to improve performance and efficiency.  </w:t>
      </w:r>
      <w:r w:rsidR="466A65CF" w:rsidRPr="27A05F86">
        <w:rPr>
          <w:b w:val="0"/>
        </w:rPr>
        <w:t xml:space="preserve">One of the processes that was addressed was Production Monitoring, the process by which EMO monitors daily transaction flow to identify processing issues and delays.  </w:t>
      </w:r>
      <w:r w:rsidR="55C2FE91" w:rsidRPr="27A05F86">
        <w:rPr>
          <w:b w:val="0"/>
        </w:rPr>
        <w:t>Previously,</w:t>
      </w:r>
      <w:r w:rsidR="34E7EF77">
        <w:rPr>
          <w:b w:val="0"/>
        </w:rPr>
        <w:t xml:space="preserve"> </w:t>
      </w:r>
      <w:r w:rsidR="004C266F">
        <w:rPr>
          <w:b w:val="0"/>
        </w:rPr>
        <w:t>EMO</w:t>
      </w:r>
      <w:r w:rsidR="55C2FE91" w:rsidRPr="27A05F86">
        <w:rPr>
          <w:b w:val="0"/>
        </w:rPr>
        <w:t xml:space="preserve"> analysts would manually query the systems throughout the day for delayed or “stuck” transactions.  After a process to fully understand the current state, identify waste and inefficiency, and design a new future state, an automated dashboard was developed </w:t>
      </w:r>
      <w:r w:rsidR="53982203">
        <w:rPr>
          <w:b w:val="0"/>
        </w:rPr>
        <w:t xml:space="preserve">to </w:t>
      </w:r>
      <w:r w:rsidR="34E7EF77">
        <w:rPr>
          <w:b w:val="0"/>
        </w:rPr>
        <w:t>display</w:t>
      </w:r>
      <w:r w:rsidR="55C2FE91" w:rsidRPr="27A05F86">
        <w:rPr>
          <w:b w:val="0"/>
        </w:rPr>
        <w:t xml:space="preserve"> end</w:t>
      </w:r>
      <w:r w:rsidR="4FD4926E">
        <w:rPr>
          <w:b w:val="0"/>
        </w:rPr>
        <w:t>-</w:t>
      </w:r>
      <w:r w:rsidR="55C2FE91" w:rsidRPr="27A05F86">
        <w:rPr>
          <w:b w:val="0"/>
        </w:rPr>
        <w:t>to</w:t>
      </w:r>
      <w:r w:rsidR="4C7595AC">
        <w:rPr>
          <w:b w:val="0"/>
        </w:rPr>
        <w:t>-</w:t>
      </w:r>
      <w:r w:rsidR="55C2FE91" w:rsidRPr="27A05F86">
        <w:rPr>
          <w:b w:val="0"/>
        </w:rPr>
        <w:t xml:space="preserve">end transaction flows.  Processing issues can now be detected and remedied much more quickly with less manual effort. </w:t>
      </w:r>
    </w:p>
    <w:p w14:paraId="6E0C1ACF" w14:textId="22AADB9A" w:rsidR="0019092E" w:rsidRDefault="0019092E" w:rsidP="00D97881">
      <w:pPr>
        <w:pStyle w:val="BodyText"/>
        <w:widowControl/>
        <w:pBdr>
          <w:left w:val="none" w:sz="0" w:space="0" w:color="auto"/>
        </w:pBdr>
        <w:ind w:left="720" w:firstLine="720"/>
        <w:jc w:val="both"/>
        <w:rPr>
          <w:b w:val="0"/>
        </w:rPr>
      </w:pPr>
      <w:r w:rsidRPr="0056764E">
        <w:t>Agile Delivery</w:t>
      </w:r>
      <w:r w:rsidR="71405D16" w:rsidRPr="0056764E">
        <w:t>.</w:t>
      </w:r>
      <w:r w:rsidR="00747361">
        <w:t xml:space="preserve">  </w:t>
      </w:r>
      <w:r w:rsidR="0056764E">
        <w:rPr>
          <w:b w:val="0"/>
        </w:rPr>
        <w:t>Beginning in 2021</w:t>
      </w:r>
      <w:r w:rsidRPr="00A86FAE">
        <w:rPr>
          <w:b w:val="0"/>
        </w:rPr>
        <w:t xml:space="preserve">, </w:t>
      </w:r>
      <w:r w:rsidR="0056764E">
        <w:rPr>
          <w:b w:val="0"/>
        </w:rPr>
        <w:t>EMO</w:t>
      </w:r>
      <w:r w:rsidRPr="00A86FAE">
        <w:rPr>
          <w:b w:val="0"/>
        </w:rPr>
        <w:t xml:space="preserve"> transitioned its project management methodology to the Agile delivery model</w:t>
      </w:r>
      <w:r w:rsidR="0056764E">
        <w:rPr>
          <w:b w:val="0"/>
        </w:rPr>
        <w:t>.  The Agile delivery model</w:t>
      </w:r>
      <w:r w:rsidRPr="00A86FAE">
        <w:rPr>
          <w:b w:val="0"/>
        </w:rPr>
        <w:t xml:space="preserve"> uses a cross-functional team approach to deliver process and system enhancements faster and more efficiently</w:t>
      </w:r>
      <w:r w:rsidR="0056764E">
        <w:rPr>
          <w:b w:val="0"/>
        </w:rPr>
        <w:t>.</w:t>
      </w:r>
      <w:r w:rsidRPr="00A86FAE">
        <w:rPr>
          <w:b w:val="0"/>
        </w:rPr>
        <w:t xml:space="preserve"> </w:t>
      </w:r>
      <w:r w:rsidR="0056764E">
        <w:rPr>
          <w:b w:val="0"/>
        </w:rPr>
        <w:t xml:space="preserve"> </w:t>
      </w:r>
      <w:r w:rsidR="008624EE">
        <w:rPr>
          <w:b w:val="0"/>
        </w:rPr>
        <w:t xml:space="preserve">IT department, the Agile framework </w:t>
      </w:r>
      <w:r w:rsidR="2AF2582E">
        <w:rPr>
          <w:b w:val="0"/>
        </w:rPr>
        <w:t>allows</w:t>
      </w:r>
      <w:r w:rsidR="008624EE">
        <w:rPr>
          <w:b w:val="0"/>
        </w:rPr>
        <w:t xml:space="preserve"> EMO to prioritize, design, test and deliver system enhancements faster and more efficiently, by </w:t>
      </w:r>
      <w:r w:rsidR="001B782C">
        <w:rPr>
          <w:b w:val="0"/>
        </w:rPr>
        <w:t xml:space="preserve">breaking the work into its smallest parts and delivering those work items in </w:t>
      </w:r>
      <w:r w:rsidR="2E383BF0">
        <w:rPr>
          <w:b w:val="0"/>
        </w:rPr>
        <w:t xml:space="preserve">three </w:t>
      </w:r>
      <w:r w:rsidR="001B782C">
        <w:rPr>
          <w:b w:val="0"/>
        </w:rPr>
        <w:t>week “sprints.”  EMO has used the Agile methodology to reduce transaction exceptions and automate previously manual processes.</w:t>
      </w:r>
    </w:p>
    <w:p w14:paraId="766A98D9" w14:textId="232DC6D7" w:rsidR="001B782C" w:rsidRPr="00A86FAE" w:rsidRDefault="001B782C" w:rsidP="00D97881">
      <w:pPr>
        <w:pStyle w:val="BodyText"/>
        <w:widowControl/>
        <w:pBdr>
          <w:left w:val="none" w:sz="0" w:space="0" w:color="auto"/>
        </w:pBdr>
        <w:ind w:left="720" w:firstLine="720"/>
        <w:jc w:val="both"/>
        <w:rPr>
          <w:b w:val="0"/>
        </w:rPr>
      </w:pPr>
      <w:r w:rsidRPr="001B782C">
        <w:rPr>
          <w:bCs/>
        </w:rPr>
        <w:t>CRIP Enhancements</w:t>
      </w:r>
      <w:r w:rsidR="5B9A65AD" w:rsidRPr="1E8A8C27">
        <w:rPr>
          <w:bCs/>
        </w:rPr>
        <w:t>.</w:t>
      </w:r>
      <w:r w:rsidR="00747361">
        <w:t xml:space="preserve">  </w:t>
      </w:r>
      <w:r>
        <w:rPr>
          <w:b w:val="0"/>
        </w:rPr>
        <w:t xml:space="preserve">In 2023, </w:t>
      </w:r>
      <w:r w:rsidR="35EB6A4D">
        <w:rPr>
          <w:b w:val="0"/>
        </w:rPr>
        <w:t xml:space="preserve">CenterPoint </w:t>
      </w:r>
      <w:r>
        <w:rPr>
          <w:b w:val="0"/>
        </w:rPr>
        <w:t xml:space="preserve">Houston implemented upgrades to CRIP.  CRIP provides premise-level information and transaction status to CRs, as well as historical usage.  The use of CRIP to obtain information reduces the need for CRs to contact CenterPoint Houston’s call center.  CRIP also provides the ability for CRs to upload “Safety Net” </w:t>
      </w:r>
      <w:r w:rsidR="5656976B">
        <w:rPr>
          <w:b w:val="0"/>
        </w:rPr>
        <w:t>M</w:t>
      </w:r>
      <w:r w:rsidR="35EB6A4D">
        <w:rPr>
          <w:b w:val="0"/>
        </w:rPr>
        <w:t>ove-</w:t>
      </w:r>
      <w:r w:rsidR="5F3F395A">
        <w:rPr>
          <w:b w:val="0"/>
        </w:rPr>
        <w:t>I</w:t>
      </w:r>
      <w:r w:rsidR="35EB6A4D">
        <w:rPr>
          <w:b w:val="0"/>
        </w:rPr>
        <w:t>n</w:t>
      </w:r>
      <w:r>
        <w:rPr>
          <w:b w:val="0"/>
        </w:rPr>
        <w:t xml:space="preserve"> requests, which are a market workaround for instances in </w:t>
      </w:r>
      <w:r w:rsidR="0063083C">
        <w:rPr>
          <w:b w:val="0"/>
        </w:rPr>
        <w:t xml:space="preserve">which </w:t>
      </w:r>
      <w:r>
        <w:rPr>
          <w:b w:val="0"/>
        </w:rPr>
        <w:t xml:space="preserve">CRs need to energize service outside of the </w:t>
      </w:r>
      <w:r>
        <w:rPr>
          <w:b w:val="0"/>
        </w:rPr>
        <w:lastRenderedPageBreak/>
        <w:t>normal transactional process.  CRIP’s Safety Net functionality automates a previously manual process.</w:t>
      </w:r>
    </w:p>
    <w:p w14:paraId="118EE427" w14:textId="4564F59E" w:rsidR="00FB331E" w:rsidRDefault="00FB331E" w:rsidP="00FB331E">
      <w:pPr>
        <w:pStyle w:val="BodyText"/>
        <w:widowControl/>
        <w:pBdr>
          <w:left w:val="none" w:sz="0" w:space="0" w:color="auto"/>
        </w:pBdr>
        <w:ind w:left="720" w:hanging="720"/>
        <w:jc w:val="both"/>
      </w:pPr>
      <w:r>
        <w:t>Q.</w:t>
      </w:r>
      <w:r>
        <w:tab/>
        <w:t xml:space="preserve">PLEASE PROVIDE EXAMPLES OF THE TYPES OF PLANNED MAJOR PROJECTS FOR WHICH </w:t>
      </w:r>
      <w:r w:rsidR="004C266F">
        <w:t>EMO</w:t>
      </w:r>
      <w:r>
        <w:t xml:space="preserve"> WILL BE RESPONSIBLE.</w:t>
      </w:r>
    </w:p>
    <w:p w14:paraId="70742B60" w14:textId="55122375" w:rsidR="00281EBF" w:rsidRDefault="00FB331E" w:rsidP="00281EBF">
      <w:pPr>
        <w:pStyle w:val="BodyText"/>
        <w:widowControl/>
        <w:pBdr>
          <w:left w:val="none" w:sz="0" w:space="0" w:color="auto"/>
        </w:pBdr>
        <w:ind w:left="720" w:hanging="720"/>
        <w:jc w:val="both"/>
        <w:rPr>
          <w:b w:val="0"/>
        </w:rPr>
      </w:pPr>
      <w:r w:rsidRPr="0080131F">
        <w:rPr>
          <w:b w:val="0"/>
        </w:rPr>
        <w:t>A.</w:t>
      </w:r>
      <w:r w:rsidRPr="0080131F">
        <w:rPr>
          <w:b w:val="0"/>
        </w:rPr>
        <w:tab/>
      </w:r>
      <w:r w:rsidR="004C266F">
        <w:rPr>
          <w:b w:val="0"/>
        </w:rPr>
        <w:t>EMO</w:t>
      </w:r>
      <w:r>
        <w:rPr>
          <w:b w:val="0"/>
        </w:rPr>
        <w:t xml:space="preserve"> is or will be implementing the following major projects:</w:t>
      </w:r>
    </w:p>
    <w:p w14:paraId="27C9B0B6" w14:textId="0FE268E1" w:rsidR="004C266F" w:rsidRDefault="7E22621A" w:rsidP="0050306C">
      <w:pPr>
        <w:pStyle w:val="BodyText"/>
        <w:widowControl/>
        <w:pBdr>
          <w:left w:val="none" w:sz="0" w:space="0" w:color="auto"/>
        </w:pBdr>
        <w:ind w:left="720" w:firstLine="720"/>
        <w:jc w:val="both"/>
        <w:rPr>
          <w:b w:val="0"/>
        </w:rPr>
      </w:pPr>
      <w:r w:rsidRPr="00183989">
        <w:t xml:space="preserve">Texas SET </w:t>
      </w:r>
      <w:r w:rsidR="707C41D6" w:rsidRPr="00183989">
        <w:t xml:space="preserve">Version </w:t>
      </w:r>
      <w:r w:rsidRPr="00183989">
        <w:t>5.0</w:t>
      </w:r>
      <w:r w:rsidR="29600F5E">
        <w:t>.</w:t>
      </w:r>
      <w:r w:rsidRPr="00183989">
        <w:t xml:space="preserve"> </w:t>
      </w:r>
      <w:r>
        <w:rPr>
          <w:b w:val="0"/>
        </w:rPr>
        <w:t xml:space="preserve"> </w:t>
      </w:r>
      <w:r w:rsidR="2AC89FF9">
        <w:rPr>
          <w:b w:val="0"/>
        </w:rPr>
        <w:t xml:space="preserve">In 2024, </w:t>
      </w:r>
      <w:r w:rsidR="08A9421D">
        <w:rPr>
          <w:b w:val="0"/>
        </w:rPr>
        <w:t>transmission and distribution utilities (“</w:t>
      </w:r>
      <w:r w:rsidR="2AC89FF9">
        <w:rPr>
          <w:b w:val="0"/>
        </w:rPr>
        <w:t>TDUs</w:t>
      </w:r>
      <w:r w:rsidR="1D298151">
        <w:rPr>
          <w:b w:val="0"/>
        </w:rPr>
        <w:t>”)</w:t>
      </w:r>
      <w:r w:rsidR="2AC89FF9">
        <w:rPr>
          <w:b w:val="0"/>
        </w:rPr>
        <w:t>, CRs, and ERCOT will implement a</w:t>
      </w:r>
      <w:r w:rsidR="6811441A">
        <w:rPr>
          <w:b w:val="0"/>
        </w:rPr>
        <w:t xml:space="preserve"> major update to the </w:t>
      </w:r>
      <w:r w:rsidR="7ADAA031">
        <w:rPr>
          <w:b w:val="0"/>
        </w:rPr>
        <w:t>TX</w:t>
      </w:r>
      <w:r w:rsidR="14A58176">
        <w:rPr>
          <w:b w:val="0"/>
        </w:rPr>
        <w:t xml:space="preserve"> SET that </w:t>
      </w:r>
      <w:r w:rsidR="46F57B5A">
        <w:rPr>
          <w:b w:val="0"/>
        </w:rPr>
        <w:t>provide</w:t>
      </w:r>
      <w:r w:rsidR="51033072">
        <w:rPr>
          <w:b w:val="0"/>
        </w:rPr>
        <w:t>s</w:t>
      </w:r>
      <w:r w:rsidR="46F57B5A">
        <w:rPr>
          <w:b w:val="0"/>
        </w:rPr>
        <w:t xml:space="preserve"> the framework for Electronic Data Interchange in the Texas </w:t>
      </w:r>
      <w:r w:rsidR="707C41D6">
        <w:rPr>
          <w:b w:val="0"/>
        </w:rPr>
        <w:t xml:space="preserve">retail electric market.  </w:t>
      </w:r>
      <w:r w:rsidR="4C2C829B">
        <w:rPr>
          <w:b w:val="0"/>
        </w:rPr>
        <w:t xml:space="preserve">TX </w:t>
      </w:r>
      <w:r w:rsidR="5071183E">
        <w:rPr>
          <w:b w:val="0"/>
        </w:rPr>
        <w:t>SET version 5.0</w:t>
      </w:r>
      <w:r w:rsidR="7194EB9B">
        <w:rPr>
          <w:b w:val="0"/>
        </w:rPr>
        <w:t xml:space="preserve"> is the first major update to </w:t>
      </w:r>
      <w:r w:rsidR="761FF54F">
        <w:rPr>
          <w:b w:val="0"/>
        </w:rPr>
        <w:t xml:space="preserve">TX </w:t>
      </w:r>
      <w:r w:rsidR="7194EB9B">
        <w:rPr>
          <w:b w:val="0"/>
        </w:rPr>
        <w:t>SET since 2012, and</w:t>
      </w:r>
      <w:r w:rsidR="5071183E">
        <w:rPr>
          <w:b w:val="0"/>
        </w:rPr>
        <w:t xml:space="preserve"> includes process enhancements, new data fields, </w:t>
      </w:r>
      <w:r w:rsidR="322D7836">
        <w:rPr>
          <w:b w:val="0"/>
        </w:rPr>
        <w:t>new purpose codes, and other change</w:t>
      </w:r>
      <w:r w:rsidR="40C75AC4">
        <w:rPr>
          <w:b w:val="0"/>
        </w:rPr>
        <w:t>s</w:t>
      </w:r>
      <w:r w:rsidR="0031B0FA">
        <w:rPr>
          <w:b w:val="0"/>
        </w:rPr>
        <w:t xml:space="preserve"> designed to </w:t>
      </w:r>
      <w:r w:rsidR="5A13B4E1">
        <w:rPr>
          <w:b w:val="0"/>
        </w:rPr>
        <w:t xml:space="preserve">make processes more efficient and </w:t>
      </w:r>
      <w:r w:rsidR="0765D677">
        <w:rPr>
          <w:b w:val="0"/>
        </w:rPr>
        <w:t xml:space="preserve">to add functionality that benefits market participants and </w:t>
      </w:r>
      <w:r w:rsidR="21447743">
        <w:rPr>
          <w:b w:val="0"/>
        </w:rPr>
        <w:t xml:space="preserve">end-use </w:t>
      </w:r>
      <w:r w:rsidR="0765D677">
        <w:rPr>
          <w:b w:val="0"/>
        </w:rPr>
        <w:t>customers</w:t>
      </w:r>
      <w:r w:rsidR="40C75AC4">
        <w:rPr>
          <w:b w:val="0"/>
        </w:rPr>
        <w:t xml:space="preserve">.  </w:t>
      </w:r>
      <w:r w:rsidR="1AF6AA9A">
        <w:rPr>
          <w:b w:val="0"/>
        </w:rPr>
        <w:t xml:space="preserve">The changes were developed in the ERCOT stakeholder process over several years and will be implemented in the </w:t>
      </w:r>
      <w:r w:rsidR="7214BB5C">
        <w:rPr>
          <w:b w:val="0"/>
        </w:rPr>
        <w:t xml:space="preserve">fourth </w:t>
      </w:r>
      <w:r w:rsidR="1AF6AA9A">
        <w:rPr>
          <w:b w:val="0"/>
        </w:rPr>
        <w:t xml:space="preserve">quarter of 2024.  </w:t>
      </w:r>
      <w:r w:rsidR="2877711B">
        <w:rPr>
          <w:b w:val="0"/>
        </w:rPr>
        <w:t xml:space="preserve">The changes require </w:t>
      </w:r>
      <w:r w:rsidR="0031B0FA">
        <w:rPr>
          <w:b w:val="0"/>
        </w:rPr>
        <w:t xml:space="preserve">extensive </w:t>
      </w:r>
      <w:r w:rsidR="2877711B">
        <w:rPr>
          <w:b w:val="0"/>
        </w:rPr>
        <w:t xml:space="preserve">coding and testing by all market participants, including </w:t>
      </w:r>
      <w:r w:rsidR="0031B0FA">
        <w:rPr>
          <w:b w:val="0"/>
        </w:rPr>
        <w:t>a market</w:t>
      </w:r>
      <w:r w:rsidR="7594A29E">
        <w:rPr>
          <w:b w:val="0"/>
        </w:rPr>
        <w:t>-</w:t>
      </w:r>
      <w:r w:rsidR="0031B0FA">
        <w:rPr>
          <w:b w:val="0"/>
        </w:rPr>
        <w:t xml:space="preserve">wide testing effort prior to go-live. </w:t>
      </w:r>
    </w:p>
    <w:p w14:paraId="096E6A23" w14:textId="09772859" w:rsidR="004C266F" w:rsidRDefault="2864866B" w:rsidP="00183989">
      <w:pPr>
        <w:pStyle w:val="BodyText"/>
        <w:widowControl/>
        <w:pBdr>
          <w:left w:val="none" w:sz="0" w:space="0" w:color="auto"/>
        </w:pBdr>
        <w:ind w:left="720" w:firstLine="720"/>
        <w:jc w:val="both"/>
        <w:rPr>
          <w:b w:val="0"/>
        </w:rPr>
      </w:pPr>
      <w:r w:rsidRPr="00183989">
        <w:t>Additional CRIP Enhancements</w:t>
      </w:r>
      <w:r w:rsidR="3F0FA75A">
        <w:t>.</w:t>
      </w:r>
      <w:r w:rsidR="59F6C53E">
        <w:t xml:space="preserve">  </w:t>
      </w:r>
      <w:r w:rsidR="088BAF45">
        <w:rPr>
          <w:b w:val="0"/>
        </w:rPr>
        <w:t xml:space="preserve">In </w:t>
      </w:r>
      <w:r w:rsidR="14A22C64">
        <w:rPr>
          <w:b w:val="0"/>
        </w:rPr>
        <w:t xml:space="preserve">2024, </w:t>
      </w:r>
      <w:r w:rsidR="004C266F">
        <w:rPr>
          <w:b w:val="0"/>
        </w:rPr>
        <w:t>EMO</w:t>
      </w:r>
      <w:r w:rsidR="1950B122">
        <w:rPr>
          <w:b w:val="0"/>
        </w:rPr>
        <w:t xml:space="preserve"> will implement further enhancements to CRIP.  </w:t>
      </w:r>
      <w:r w:rsidR="2B661DD6">
        <w:rPr>
          <w:b w:val="0"/>
        </w:rPr>
        <w:t xml:space="preserve">The enhancements will include single sign-on capability to </w:t>
      </w:r>
      <w:r w:rsidR="5308D946">
        <w:rPr>
          <w:b w:val="0"/>
        </w:rPr>
        <w:t xml:space="preserve">enhance security and </w:t>
      </w:r>
      <w:r w:rsidR="2B661DD6">
        <w:rPr>
          <w:b w:val="0"/>
        </w:rPr>
        <w:t xml:space="preserve">improve </w:t>
      </w:r>
      <w:r w:rsidR="5308D946">
        <w:rPr>
          <w:b w:val="0"/>
        </w:rPr>
        <w:t>how CR administrators assign users to the system</w:t>
      </w:r>
      <w:r w:rsidR="262E74E0">
        <w:rPr>
          <w:b w:val="0"/>
        </w:rPr>
        <w:t xml:space="preserve">.  The CRIP historical usage function will be enhanced to </w:t>
      </w:r>
      <w:r w:rsidR="2306BA8C">
        <w:rPr>
          <w:b w:val="0"/>
        </w:rPr>
        <w:t>include the current DEIS functionality, resulting in one market-facing historical usage</w:t>
      </w:r>
      <w:r w:rsidR="5C09D5EE">
        <w:rPr>
          <w:b w:val="0"/>
        </w:rPr>
        <w:t xml:space="preserve"> system.  </w:t>
      </w:r>
    </w:p>
    <w:p w14:paraId="4A011AEA" w14:textId="68C28AA3" w:rsidR="005B2057" w:rsidRDefault="005B2057" w:rsidP="004960F2">
      <w:pPr>
        <w:pStyle w:val="BodyText"/>
        <w:widowControl/>
        <w:pBdr>
          <w:left w:val="none" w:sz="0" w:space="0" w:color="auto"/>
        </w:pBdr>
        <w:ind w:left="720" w:hanging="720"/>
        <w:jc w:val="both"/>
      </w:pPr>
      <w:r w:rsidRPr="00711AB2">
        <w:t>Q.</w:t>
      </w:r>
      <w:r w:rsidRPr="00711AB2">
        <w:tab/>
      </w:r>
      <w:r>
        <w:t>WHY IS</w:t>
      </w:r>
      <w:r w:rsidRPr="00711AB2">
        <w:t xml:space="preserve"> </w:t>
      </w:r>
      <w:r>
        <w:t>ELECTRIC MARKET OPERATIONS</w:t>
      </w:r>
      <w:r w:rsidRPr="00711AB2">
        <w:t xml:space="preserve"> </w:t>
      </w:r>
      <w:r>
        <w:t>NECESSARY FOR</w:t>
      </w:r>
      <w:r w:rsidRPr="00711AB2">
        <w:t xml:space="preserve"> END</w:t>
      </w:r>
      <w:r w:rsidR="004960F2">
        <w:noBreakHyphen/>
      </w:r>
      <w:r w:rsidRPr="00711AB2">
        <w:t xml:space="preserve">USE RETAIL CUSTOMERS AND </w:t>
      </w:r>
      <w:r>
        <w:t>CRS</w:t>
      </w:r>
      <w:r w:rsidRPr="00183989">
        <w:t xml:space="preserve">?  </w:t>
      </w:r>
      <w:r w:rsidR="00C44CE6">
        <w:t xml:space="preserve">  </w:t>
      </w:r>
    </w:p>
    <w:p w14:paraId="277267CA" w14:textId="441422C5" w:rsidR="005B2057" w:rsidRDefault="63074713" w:rsidP="0050306C">
      <w:pPr>
        <w:pStyle w:val="BodyText"/>
        <w:widowControl/>
        <w:pBdr>
          <w:left w:val="none" w:sz="0" w:space="0" w:color="auto"/>
        </w:pBdr>
        <w:ind w:left="720" w:hanging="720"/>
        <w:jc w:val="both"/>
        <w:rPr>
          <w:b w:val="0"/>
        </w:rPr>
      </w:pPr>
      <w:r>
        <w:rPr>
          <w:b w:val="0"/>
        </w:rPr>
        <w:lastRenderedPageBreak/>
        <w:t>A.</w:t>
      </w:r>
      <w:r w:rsidR="005B2057">
        <w:tab/>
      </w:r>
      <w:r w:rsidR="004C266F">
        <w:rPr>
          <w:b w:val="0"/>
        </w:rPr>
        <w:t>The EMO’s</w:t>
      </w:r>
      <w:r>
        <w:rPr>
          <w:b w:val="0"/>
        </w:rPr>
        <w:t xml:space="preserve"> services are necessary to ensure that the CRs and </w:t>
      </w:r>
      <w:r w:rsidR="00D97881">
        <w:rPr>
          <w:b w:val="0"/>
        </w:rPr>
        <w:t>Retail</w:t>
      </w:r>
      <w:r w:rsidR="1869C3A4">
        <w:rPr>
          <w:b w:val="0"/>
        </w:rPr>
        <w:t xml:space="preserve"> </w:t>
      </w:r>
      <w:r w:rsidR="00D97881">
        <w:rPr>
          <w:b w:val="0"/>
        </w:rPr>
        <w:t>C</w:t>
      </w:r>
      <w:r w:rsidR="1869C3A4">
        <w:rPr>
          <w:b w:val="0"/>
        </w:rPr>
        <w:t>ustomers</w:t>
      </w:r>
      <w:r>
        <w:rPr>
          <w:b w:val="0"/>
        </w:rPr>
        <w:t xml:space="preserve"> receive their service order</w:t>
      </w:r>
      <w:r w:rsidR="7698EBCF">
        <w:rPr>
          <w:b w:val="0"/>
        </w:rPr>
        <w:t>, enrollment, and billing &amp; usage</w:t>
      </w:r>
      <w:r>
        <w:rPr>
          <w:b w:val="0"/>
        </w:rPr>
        <w:t xml:space="preserve"> transactions in both a timely and accurate manner.  </w:t>
      </w:r>
      <w:r w:rsidR="004C266F">
        <w:rPr>
          <w:b w:val="0"/>
        </w:rPr>
        <w:t>EMO</w:t>
      </w:r>
      <w:r>
        <w:rPr>
          <w:b w:val="0"/>
        </w:rPr>
        <w:t xml:space="preserve"> accomplishes high quality services through the transaction monitoring process, as well as through coordination with </w:t>
      </w:r>
      <w:r w:rsidR="1869C3A4">
        <w:rPr>
          <w:b w:val="0"/>
        </w:rPr>
        <w:t>multi</w:t>
      </w:r>
      <w:r w:rsidR="41F61562">
        <w:rPr>
          <w:b w:val="0"/>
        </w:rPr>
        <w:t>ple</w:t>
      </w:r>
      <w:r w:rsidR="005B2057" w:rsidDel="63074713">
        <w:rPr>
          <w:b w:val="0"/>
        </w:rPr>
        <w:t xml:space="preserve"> </w:t>
      </w:r>
      <w:r>
        <w:rPr>
          <w:b w:val="0"/>
        </w:rPr>
        <w:t xml:space="preserve">internal CenterPoint Houston personnel and external market participants.  </w:t>
      </w:r>
      <w:r w:rsidR="004C266F">
        <w:rPr>
          <w:b w:val="0"/>
        </w:rPr>
        <w:t>EMO</w:t>
      </w:r>
      <w:r>
        <w:rPr>
          <w:b w:val="0"/>
        </w:rPr>
        <w:t xml:space="preserve"> provides accurate and efficient transaction processing and timely exception resolution which are necessary to ensure that Switch Requests, Move-In Requests, Move-Out Requests, and other customer-initiated order transactions are executed in a timely manner and within ERCOT protocols.  Efficient transaction processing and timely exception resolution involving monthly meter read transactions sent by CenterPoint Houston enable CRs to bill the </w:t>
      </w:r>
      <w:r w:rsidR="00D97881">
        <w:rPr>
          <w:b w:val="0"/>
        </w:rPr>
        <w:t>Retail Customer</w:t>
      </w:r>
      <w:r>
        <w:rPr>
          <w:b w:val="0"/>
        </w:rPr>
        <w:t xml:space="preserve"> accurately, with validated usage data.  Also, the daily interval usage data enabled by advanced metering systems (“AMS”) that the Company transmits to </w:t>
      </w:r>
      <w:r w:rsidR="3141D4C7">
        <w:rPr>
          <w:b w:val="0"/>
        </w:rPr>
        <w:t>MarkeTrak</w:t>
      </w:r>
      <w:r>
        <w:rPr>
          <w:b w:val="0"/>
        </w:rPr>
        <w:t xml:space="preserve"> is also validated for accuracy according to industry standards so that all financial settlements of the wholesale market are based upon validated accurate information.</w:t>
      </w:r>
      <w:r w:rsidRPr="27A05F86">
        <w:rPr>
          <w:b w:val="0"/>
          <w:color w:val="FF0000"/>
        </w:rPr>
        <w:t xml:space="preserve"> </w:t>
      </w:r>
    </w:p>
    <w:p w14:paraId="243B0C4B" w14:textId="1823F6E1" w:rsidR="005B2057" w:rsidRPr="00D77F58" w:rsidRDefault="005B2057" w:rsidP="0050306C">
      <w:pPr>
        <w:pStyle w:val="BodyText"/>
        <w:widowControl/>
        <w:pBdr>
          <w:left w:val="none" w:sz="0" w:space="0" w:color="auto"/>
        </w:pBdr>
        <w:ind w:left="720" w:hanging="720"/>
        <w:jc w:val="both"/>
        <w:rPr>
          <w:b w:val="0"/>
        </w:rPr>
      </w:pPr>
      <w:r>
        <w:rPr>
          <w:b w:val="0"/>
        </w:rPr>
        <w:tab/>
      </w:r>
      <w:r>
        <w:rPr>
          <w:b w:val="0"/>
        </w:rPr>
        <w:tab/>
      </w:r>
      <w:r w:rsidR="5A8CB77A" w:rsidRPr="000E2908">
        <w:rPr>
          <w:b w:val="0"/>
        </w:rPr>
        <w:t>In the event Co</w:t>
      </w:r>
      <w:r w:rsidR="19319CAC" w:rsidRPr="000E2908">
        <w:rPr>
          <w:b w:val="0"/>
        </w:rPr>
        <w:t xml:space="preserve">mpany must exercise </w:t>
      </w:r>
      <w:r w:rsidR="5A8CB77A" w:rsidRPr="000E2908">
        <w:rPr>
          <w:b w:val="0"/>
        </w:rPr>
        <w:t>exception</w:t>
      </w:r>
      <w:r w:rsidR="0D576AB0" w:rsidRPr="000E2908">
        <w:rPr>
          <w:b w:val="0"/>
        </w:rPr>
        <w:t>s</w:t>
      </w:r>
      <w:r w:rsidR="5A8CB77A" w:rsidRPr="000E2908">
        <w:rPr>
          <w:b w:val="0"/>
        </w:rPr>
        <w:t xml:space="preserve"> or special processing requirements, the </w:t>
      </w:r>
      <w:r w:rsidR="1869C3A4" w:rsidRPr="000E2908">
        <w:rPr>
          <w:b w:val="0"/>
        </w:rPr>
        <w:t xml:space="preserve">Electric Market Relations </w:t>
      </w:r>
      <w:r w:rsidR="15813BE5" w:rsidRPr="000E2908">
        <w:rPr>
          <w:b w:val="0"/>
        </w:rPr>
        <w:t>g</w:t>
      </w:r>
      <w:r w:rsidR="1869C3A4" w:rsidRPr="000E2908">
        <w:rPr>
          <w:b w:val="0"/>
        </w:rPr>
        <w:t xml:space="preserve">roup </w:t>
      </w:r>
      <w:r w:rsidR="60669694" w:rsidRPr="000E2908">
        <w:rPr>
          <w:b w:val="0"/>
        </w:rPr>
        <w:t xml:space="preserve">is </w:t>
      </w:r>
      <w:r w:rsidR="1869C3A4" w:rsidRPr="000E2908">
        <w:rPr>
          <w:b w:val="0"/>
        </w:rPr>
        <w:t>the single point of contact for CRs</w:t>
      </w:r>
      <w:r w:rsidR="006F8590" w:rsidRPr="000E2908">
        <w:rPr>
          <w:b w:val="0"/>
        </w:rPr>
        <w:t xml:space="preserve"> and the Company to coordinate any necessary field activities or other actions needed</w:t>
      </w:r>
      <w:r w:rsidR="556A6FAA" w:rsidRPr="000E2908">
        <w:rPr>
          <w:b w:val="0"/>
        </w:rPr>
        <w:t xml:space="preserve"> </w:t>
      </w:r>
      <w:r w:rsidR="0C63472E" w:rsidRPr="000E2908">
        <w:rPr>
          <w:b w:val="0"/>
        </w:rPr>
        <w:t xml:space="preserve">to </w:t>
      </w:r>
      <w:r w:rsidR="1869C3A4" w:rsidRPr="000E2908">
        <w:rPr>
          <w:b w:val="0"/>
        </w:rPr>
        <w:t xml:space="preserve">facilitate the timely resolution of </w:t>
      </w:r>
      <w:r w:rsidR="2830CCEF" w:rsidRPr="000E2908">
        <w:rPr>
          <w:b w:val="0"/>
        </w:rPr>
        <w:t>retail issues</w:t>
      </w:r>
      <w:r w:rsidR="1869C3A4" w:rsidRPr="000E2908">
        <w:rPr>
          <w:b w:val="0"/>
        </w:rPr>
        <w:t>.</w:t>
      </w:r>
      <w:r w:rsidR="1869C3A4">
        <w:rPr>
          <w:b w:val="0"/>
        </w:rPr>
        <w:t xml:space="preserve"> </w:t>
      </w:r>
      <w:r>
        <w:rPr>
          <w:b w:val="0"/>
        </w:rPr>
        <w:t xml:space="preserve">Electric Market </w:t>
      </w:r>
      <w:r w:rsidR="1869C3A4">
        <w:rPr>
          <w:b w:val="0"/>
        </w:rPr>
        <w:t>Relations</w:t>
      </w:r>
      <w:r w:rsidR="473002DC">
        <w:rPr>
          <w:b w:val="0"/>
        </w:rPr>
        <w:t>’</w:t>
      </w:r>
      <w:r>
        <w:rPr>
          <w:b w:val="0"/>
        </w:rPr>
        <w:t xml:space="preserve"> participation in the ERCOT stakeholder process plays a crucial role in the </w:t>
      </w:r>
      <w:r w:rsidR="62DA9A19">
        <w:rPr>
          <w:b w:val="0"/>
        </w:rPr>
        <w:t xml:space="preserve">functioning of the ERCOT </w:t>
      </w:r>
      <w:r>
        <w:rPr>
          <w:b w:val="0"/>
        </w:rPr>
        <w:t xml:space="preserve">market so that </w:t>
      </w:r>
      <w:r w:rsidR="26827575">
        <w:rPr>
          <w:b w:val="0"/>
        </w:rPr>
        <w:t>the Company, CRs, ERCOT, the Commission and market participants</w:t>
      </w:r>
      <w:r>
        <w:rPr>
          <w:b w:val="0"/>
        </w:rPr>
        <w:t xml:space="preserve"> have a</w:t>
      </w:r>
      <w:r w:rsidR="128E8822">
        <w:rPr>
          <w:b w:val="0"/>
        </w:rPr>
        <w:t>n</w:t>
      </w:r>
      <w:r>
        <w:rPr>
          <w:b w:val="0"/>
        </w:rPr>
        <w:t xml:space="preserve"> </w:t>
      </w:r>
      <w:r w:rsidR="1DBBE101">
        <w:rPr>
          <w:b w:val="0"/>
        </w:rPr>
        <w:t xml:space="preserve">informed </w:t>
      </w:r>
      <w:r>
        <w:rPr>
          <w:b w:val="0"/>
        </w:rPr>
        <w:t xml:space="preserve">understanding of the </w:t>
      </w:r>
      <w:r>
        <w:rPr>
          <w:b w:val="0"/>
        </w:rPr>
        <w:lastRenderedPageBreak/>
        <w:t xml:space="preserve">complexities </w:t>
      </w:r>
      <w:r w:rsidR="2CE90BD9">
        <w:rPr>
          <w:b w:val="0"/>
        </w:rPr>
        <w:t xml:space="preserve">of changes to </w:t>
      </w:r>
      <w:r w:rsidR="30836730">
        <w:rPr>
          <w:b w:val="0"/>
        </w:rPr>
        <w:t xml:space="preserve">market transaction </w:t>
      </w:r>
      <w:r w:rsidR="1869C3A4">
        <w:rPr>
          <w:b w:val="0"/>
        </w:rPr>
        <w:t>process</w:t>
      </w:r>
      <w:r w:rsidR="701A75FF">
        <w:rPr>
          <w:b w:val="0"/>
        </w:rPr>
        <w:t>es</w:t>
      </w:r>
      <w:r w:rsidR="1869C3A4">
        <w:rPr>
          <w:b w:val="0"/>
        </w:rPr>
        <w:t xml:space="preserve"> </w:t>
      </w:r>
      <w:r w:rsidR="31687F5A">
        <w:rPr>
          <w:b w:val="0"/>
        </w:rPr>
        <w:t>and other rules and protocols impacting the retail market served by CenterPoint Houston</w:t>
      </w:r>
      <w:r>
        <w:rPr>
          <w:b w:val="0"/>
        </w:rPr>
        <w:t>.</w:t>
      </w:r>
    </w:p>
    <w:p w14:paraId="51644298" w14:textId="66654B00" w:rsidR="00844F36" w:rsidRPr="005601F7" w:rsidRDefault="00896D77" w:rsidP="005601F7">
      <w:pPr>
        <w:pStyle w:val="CROutline1"/>
        <w:tabs>
          <w:tab w:val="clear" w:pos="540"/>
        </w:tabs>
        <w:ind w:left="720" w:hanging="720"/>
        <w:rPr>
          <w:caps/>
        </w:rPr>
      </w:pPr>
      <w:bookmarkStart w:id="23" w:name="_Toc159491395"/>
      <w:r w:rsidRPr="005601F7">
        <w:rPr>
          <w:caps/>
        </w:rPr>
        <w:t>CenterPoint Houston’s Credit Risk and Bad Debt</w:t>
      </w:r>
      <w:bookmarkEnd w:id="23"/>
    </w:p>
    <w:p w14:paraId="1A757371" w14:textId="77777777" w:rsidR="000C7716" w:rsidRDefault="000C7716" w:rsidP="000C7716">
      <w:pPr>
        <w:pStyle w:val="BodyText"/>
        <w:widowControl/>
        <w:pBdr>
          <w:left w:val="none" w:sz="0" w:space="0" w:color="auto"/>
        </w:pBdr>
        <w:ind w:left="720" w:hanging="720"/>
        <w:jc w:val="both"/>
      </w:pPr>
      <w:r>
        <w:t>Q.</w:t>
      </w:r>
      <w:r>
        <w:tab/>
        <w:t>WHAT ARE CENTERPOINT HOUSTON</w:t>
      </w:r>
      <w:r w:rsidRPr="00156551">
        <w:t>’S CREDIT</w:t>
      </w:r>
      <w:r>
        <w:t xml:space="preserve"> AND BUSINESS RISKS ASSOC</w:t>
      </w:r>
      <w:r w:rsidRPr="00156551">
        <w:t>IATED WITH THE TEXAS RETAIL ELECTRIC MARKET?</w:t>
      </w:r>
    </w:p>
    <w:p w14:paraId="7DDC5646" w14:textId="36A540C9" w:rsidR="0045748B" w:rsidRDefault="000C7716" w:rsidP="0050306C">
      <w:pPr>
        <w:pStyle w:val="BodyText"/>
        <w:widowControl/>
        <w:pBdr>
          <w:left w:val="none" w:sz="0" w:space="0" w:color="auto"/>
        </w:pBdr>
        <w:ind w:left="720" w:hanging="720"/>
        <w:jc w:val="both"/>
        <w:rPr>
          <w:b w:val="0"/>
        </w:rPr>
      </w:pPr>
      <w:r>
        <w:rPr>
          <w:b w:val="0"/>
        </w:rPr>
        <w:t>A.</w:t>
      </w:r>
      <w:r>
        <w:tab/>
      </w:r>
      <w:r>
        <w:rPr>
          <w:b w:val="0"/>
        </w:rPr>
        <w:t xml:space="preserve">The major credit risk that CenterPoint Houston encounters is CR delinquency and default.  </w:t>
      </w:r>
      <w:r w:rsidR="00060622">
        <w:rPr>
          <w:b w:val="0"/>
        </w:rPr>
        <w:t xml:space="preserve">In contrast to </w:t>
      </w:r>
      <w:r w:rsidR="72777D5C" w:rsidRPr="00D97881">
        <w:rPr>
          <w:b w:val="0"/>
        </w:rPr>
        <w:t>T</w:t>
      </w:r>
      <w:r w:rsidR="4147D270" w:rsidRPr="00D97881">
        <w:rPr>
          <w:b w:val="0"/>
        </w:rPr>
        <w:t>DUs</w:t>
      </w:r>
      <w:r w:rsidR="00060622">
        <w:rPr>
          <w:b w:val="0"/>
        </w:rPr>
        <w:t xml:space="preserve"> that operate </w:t>
      </w:r>
      <w:r w:rsidR="735EACDA" w:rsidRPr="00D97881">
        <w:rPr>
          <w:b w:val="0"/>
        </w:rPr>
        <w:t xml:space="preserve">within Texas, but </w:t>
      </w:r>
      <w:r w:rsidR="00060622">
        <w:rPr>
          <w:b w:val="0"/>
        </w:rPr>
        <w:t xml:space="preserve">outside </w:t>
      </w:r>
      <w:r w:rsidR="01229DFD" w:rsidRPr="00D97881">
        <w:rPr>
          <w:b w:val="0"/>
        </w:rPr>
        <w:t>the</w:t>
      </w:r>
      <w:r w:rsidR="00060622">
        <w:rPr>
          <w:b w:val="0"/>
        </w:rPr>
        <w:t xml:space="preserve"> ERCOT</w:t>
      </w:r>
      <w:r w:rsidR="56ABE2AE" w:rsidRPr="00D97881">
        <w:rPr>
          <w:b w:val="0"/>
        </w:rPr>
        <w:t xml:space="preserve"> region</w:t>
      </w:r>
      <w:r w:rsidR="00060622">
        <w:rPr>
          <w:b w:val="0"/>
        </w:rPr>
        <w:t xml:space="preserve">, </w:t>
      </w:r>
      <w:r w:rsidR="00E20C9C">
        <w:rPr>
          <w:b w:val="0"/>
        </w:rPr>
        <w:t xml:space="preserve">CenterPoint Houston bills </w:t>
      </w:r>
      <w:r w:rsidR="00044340">
        <w:rPr>
          <w:b w:val="0"/>
        </w:rPr>
        <w:t xml:space="preserve">and collects </w:t>
      </w:r>
      <w:r w:rsidR="002F4E40">
        <w:rPr>
          <w:b w:val="0"/>
        </w:rPr>
        <w:t xml:space="preserve">receivables </w:t>
      </w:r>
      <w:r w:rsidR="00044340">
        <w:rPr>
          <w:b w:val="0"/>
        </w:rPr>
        <w:t xml:space="preserve">from CRs </w:t>
      </w:r>
      <w:r w:rsidR="694B6EAD" w:rsidRPr="00D97881">
        <w:rPr>
          <w:b w:val="0"/>
        </w:rPr>
        <w:t>rather than</w:t>
      </w:r>
      <w:r w:rsidR="4A3DC189" w:rsidRPr="00D97881">
        <w:rPr>
          <w:b w:val="0"/>
        </w:rPr>
        <w:t xml:space="preserve"> </w:t>
      </w:r>
      <w:r w:rsidR="005601F7">
        <w:rPr>
          <w:b w:val="0"/>
        </w:rPr>
        <w:t>Retail Customers</w:t>
      </w:r>
      <w:r w:rsidR="4A3DC189" w:rsidRPr="00D97881">
        <w:rPr>
          <w:b w:val="0"/>
        </w:rPr>
        <w:t xml:space="preserve">.  </w:t>
      </w:r>
      <w:r>
        <w:rPr>
          <w:b w:val="0"/>
        </w:rPr>
        <w:t xml:space="preserve">In </w:t>
      </w:r>
      <w:r w:rsidDel="000C7716">
        <w:rPr>
          <w:b w:val="0"/>
        </w:rPr>
        <w:t>the</w:t>
      </w:r>
      <w:r>
        <w:rPr>
          <w:b w:val="0"/>
        </w:rPr>
        <w:t xml:space="preserve"> </w:t>
      </w:r>
      <w:r w:rsidR="6E63D8DB" w:rsidRPr="00D97881">
        <w:rPr>
          <w:b w:val="0"/>
        </w:rPr>
        <w:t>Texas</w:t>
      </w:r>
      <w:r>
        <w:rPr>
          <w:b w:val="0"/>
        </w:rPr>
        <w:t xml:space="preserve"> competitive retail electric market, this risk is substantial because</w:t>
      </w:r>
      <w:r w:rsidR="00A93B84">
        <w:rPr>
          <w:b w:val="0"/>
        </w:rPr>
        <w:t xml:space="preserve"> </w:t>
      </w:r>
      <w:r>
        <w:rPr>
          <w:b w:val="0"/>
        </w:rPr>
        <w:t>receivables are  concentrated over a much smaller customer base</w:t>
      </w:r>
      <w:r w:rsidR="005601F7">
        <w:rPr>
          <w:b w:val="0"/>
        </w:rPr>
        <w:t>—</w:t>
      </w:r>
      <w:r w:rsidR="00456CD1">
        <w:rPr>
          <w:b w:val="0"/>
        </w:rPr>
        <w:t xml:space="preserve"> i.e., </w:t>
      </w:r>
      <w:r w:rsidR="005601F7">
        <w:rPr>
          <w:b w:val="0"/>
        </w:rPr>
        <w:t xml:space="preserve">TDUs do not directly serve Retail Customers; TDUs serve </w:t>
      </w:r>
      <w:r w:rsidR="15717494" w:rsidRPr="00D97881">
        <w:rPr>
          <w:b w:val="0"/>
        </w:rPr>
        <w:t>CR</w:t>
      </w:r>
      <w:r w:rsidR="005601F7">
        <w:rPr>
          <w:b w:val="0"/>
        </w:rPr>
        <w:t>s, which serve Retail Customers. Therefore the customer base of TDUs (made up of CRs) is much smaller than the customer base of CRs (made up of Retail Customers)</w:t>
      </w:r>
      <w:r w:rsidR="6E63D8DB" w:rsidRPr="00D97881">
        <w:rPr>
          <w:b w:val="0"/>
        </w:rPr>
        <w:t xml:space="preserve">.  </w:t>
      </w:r>
      <w:r>
        <w:rPr>
          <w:b w:val="0"/>
        </w:rPr>
        <w:t xml:space="preserve">CenterPoint Houston’s customer base entails roughly </w:t>
      </w:r>
      <w:r w:rsidR="1CA26C9F" w:rsidRPr="00D97881">
        <w:rPr>
          <w:b w:val="0"/>
        </w:rPr>
        <w:t>81</w:t>
      </w:r>
      <w:r w:rsidRPr="005601F7">
        <w:rPr>
          <w:b w:val="0"/>
        </w:rPr>
        <w:t xml:space="preserve"> CRs,</w:t>
      </w:r>
      <w:r>
        <w:rPr>
          <w:b w:val="0"/>
        </w:rPr>
        <w:t xml:space="preserve"> </w:t>
      </w:r>
      <w:r w:rsidR="00DB2FCD">
        <w:rPr>
          <w:b w:val="0"/>
        </w:rPr>
        <w:t xml:space="preserve">meaning CenterPoint Houston’s receivables are dispersed among </w:t>
      </w:r>
      <w:r w:rsidR="1CA26C9F" w:rsidRPr="00D97881">
        <w:rPr>
          <w:b w:val="0"/>
        </w:rPr>
        <w:t>81</w:t>
      </w:r>
      <w:r w:rsidR="00DB2FCD">
        <w:rPr>
          <w:b w:val="0"/>
        </w:rPr>
        <w:t xml:space="preserve"> entities </w:t>
      </w:r>
      <w:r>
        <w:rPr>
          <w:b w:val="0"/>
        </w:rPr>
        <w:t xml:space="preserve">as opposed to having the receivables dispersed among millions of </w:t>
      </w:r>
      <w:r w:rsidR="005601F7">
        <w:rPr>
          <w:b w:val="0"/>
        </w:rPr>
        <w:t>R</w:t>
      </w:r>
      <w:r w:rsidR="6E63D8DB" w:rsidRPr="00D97881">
        <w:rPr>
          <w:b w:val="0"/>
        </w:rPr>
        <w:t xml:space="preserve">etail </w:t>
      </w:r>
      <w:r w:rsidR="005601F7">
        <w:rPr>
          <w:b w:val="0"/>
        </w:rPr>
        <w:t>C</w:t>
      </w:r>
      <w:r w:rsidR="6E63D8DB" w:rsidRPr="00D97881">
        <w:rPr>
          <w:b w:val="0"/>
        </w:rPr>
        <w:t>ustomers</w:t>
      </w:r>
      <w:r w:rsidR="00030CF3">
        <w:rPr>
          <w:b w:val="0"/>
        </w:rPr>
        <w:t xml:space="preserve"> like </w:t>
      </w:r>
      <w:r w:rsidR="350A2238" w:rsidRPr="00D97881">
        <w:rPr>
          <w:b w:val="0"/>
        </w:rPr>
        <w:t xml:space="preserve">the </w:t>
      </w:r>
      <w:r w:rsidR="005601F7">
        <w:rPr>
          <w:b w:val="0"/>
        </w:rPr>
        <w:t>TDUs</w:t>
      </w:r>
      <w:r w:rsidR="00030CF3">
        <w:rPr>
          <w:b w:val="0"/>
        </w:rPr>
        <w:t xml:space="preserve"> that operate </w:t>
      </w:r>
      <w:r w:rsidR="005601F7">
        <w:rPr>
          <w:b w:val="0"/>
        </w:rPr>
        <w:t xml:space="preserve">within Texas, but </w:t>
      </w:r>
      <w:r w:rsidR="00030CF3">
        <w:rPr>
          <w:b w:val="0"/>
        </w:rPr>
        <w:t xml:space="preserve">outside </w:t>
      </w:r>
      <w:r w:rsidR="005601F7">
        <w:rPr>
          <w:b w:val="0"/>
        </w:rPr>
        <w:t>the</w:t>
      </w:r>
      <w:r w:rsidR="00030CF3">
        <w:rPr>
          <w:b w:val="0"/>
        </w:rPr>
        <w:t xml:space="preserve"> ERCOT</w:t>
      </w:r>
      <w:r w:rsidR="005601F7">
        <w:rPr>
          <w:b w:val="0"/>
        </w:rPr>
        <w:t xml:space="preserve"> region</w:t>
      </w:r>
      <w:r w:rsidR="6E63D8DB" w:rsidRPr="00D97881">
        <w:rPr>
          <w:b w:val="0"/>
        </w:rPr>
        <w:t>.</w:t>
      </w:r>
      <w:r w:rsidR="006056F8">
        <w:rPr>
          <w:b w:val="0"/>
        </w:rPr>
        <w:t xml:space="preserve">  Additionally, </w:t>
      </w:r>
      <w:r w:rsidR="00EF75D2">
        <w:rPr>
          <w:b w:val="0"/>
        </w:rPr>
        <w:t xml:space="preserve">many of the </w:t>
      </w:r>
      <w:r w:rsidR="1CA26C9F" w:rsidRPr="00D97881">
        <w:rPr>
          <w:b w:val="0"/>
        </w:rPr>
        <w:t>81</w:t>
      </w:r>
      <w:r w:rsidR="00EF75D2">
        <w:rPr>
          <w:b w:val="0"/>
        </w:rPr>
        <w:t xml:space="preserve"> CRs are subsidiaries of the same parent company.  </w:t>
      </w:r>
      <w:r w:rsidR="00B1245D">
        <w:rPr>
          <w:b w:val="0"/>
        </w:rPr>
        <w:t>When common ownership</w:t>
      </w:r>
      <w:r w:rsidR="00765215">
        <w:rPr>
          <w:b w:val="0"/>
        </w:rPr>
        <w:t xml:space="preserve"> is </w:t>
      </w:r>
      <w:proofErr w:type="gramStart"/>
      <w:r w:rsidR="00765215">
        <w:rPr>
          <w:b w:val="0"/>
        </w:rPr>
        <w:t>taken into account</w:t>
      </w:r>
      <w:proofErr w:type="gramEnd"/>
      <w:r w:rsidR="00765215">
        <w:rPr>
          <w:b w:val="0"/>
        </w:rPr>
        <w:t xml:space="preserve">, approximately </w:t>
      </w:r>
      <w:r w:rsidR="3BFFCDE5" w:rsidRPr="005601F7">
        <w:rPr>
          <w:b w:val="0"/>
        </w:rPr>
        <w:t>61</w:t>
      </w:r>
      <w:r w:rsidR="726D0A9B" w:rsidRPr="00D97881">
        <w:rPr>
          <w:b w:val="0"/>
        </w:rPr>
        <w:t>%</w:t>
      </w:r>
      <w:r w:rsidR="00765215">
        <w:rPr>
          <w:b w:val="0"/>
        </w:rPr>
        <w:t xml:space="preserve"> </w:t>
      </w:r>
      <w:r w:rsidR="005544DF">
        <w:rPr>
          <w:b w:val="0"/>
        </w:rPr>
        <w:t xml:space="preserve">of CenterPoint Houston’s receivables are concentrated </w:t>
      </w:r>
      <w:r w:rsidR="00F0016F">
        <w:rPr>
          <w:b w:val="0"/>
        </w:rPr>
        <w:t xml:space="preserve">among </w:t>
      </w:r>
      <w:r w:rsidR="0961FD06" w:rsidRPr="005601F7">
        <w:rPr>
          <w:b w:val="0"/>
        </w:rPr>
        <w:t>three</w:t>
      </w:r>
      <w:r w:rsidR="7EA09401" w:rsidRPr="00D97881">
        <w:rPr>
          <w:b w:val="0"/>
        </w:rPr>
        <w:t xml:space="preserve"> </w:t>
      </w:r>
      <w:r w:rsidR="2DF89DBA" w:rsidRPr="00D97881">
        <w:rPr>
          <w:b w:val="0"/>
        </w:rPr>
        <w:t>parent companies</w:t>
      </w:r>
      <w:r w:rsidR="00F0016F">
        <w:rPr>
          <w:b w:val="0"/>
        </w:rPr>
        <w:t xml:space="preserve"> that own </w:t>
      </w:r>
      <w:r w:rsidR="03E44060" w:rsidRPr="00D97881">
        <w:rPr>
          <w:b w:val="0"/>
        </w:rPr>
        <w:t>15</w:t>
      </w:r>
      <w:r w:rsidR="00F0016F">
        <w:rPr>
          <w:b w:val="0"/>
        </w:rPr>
        <w:t xml:space="preserve"> CRs.</w:t>
      </w:r>
      <w:r>
        <w:rPr>
          <w:b w:val="0"/>
        </w:rPr>
        <w:t xml:space="preserve"> </w:t>
      </w:r>
    </w:p>
    <w:p w14:paraId="7EDC6D4C" w14:textId="15586EBD" w:rsidR="0045748B" w:rsidRDefault="0045748B" w:rsidP="005E36BB">
      <w:pPr>
        <w:pStyle w:val="BodyText"/>
        <w:keepNext/>
        <w:keepLines/>
        <w:widowControl/>
        <w:pBdr>
          <w:left w:val="none" w:sz="0" w:space="0" w:color="auto"/>
        </w:pBdr>
        <w:ind w:left="720" w:hanging="720"/>
        <w:jc w:val="both"/>
      </w:pPr>
      <w:r>
        <w:lastRenderedPageBreak/>
        <w:t>Q.</w:t>
      </w:r>
      <w:r>
        <w:tab/>
        <w:t>HAS CENTERPOINT HOUSTON EXPERIENCED CR DEFAULTS OR CRS CEASING TO DO BUSINESS</w:t>
      </w:r>
      <w:r w:rsidRPr="00156551">
        <w:t>?</w:t>
      </w:r>
    </w:p>
    <w:p w14:paraId="07982784" w14:textId="5B34D15E" w:rsidR="006176BF" w:rsidRDefault="0045748B" w:rsidP="005E36BB">
      <w:pPr>
        <w:pStyle w:val="BodyText"/>
        <w:keepNext/>
        <w:keepLines/>
        <w:widowControl/>
        <w:pBdr>
          <w:left w:val="none" w:sz="0" w:space="0" w:color="auto"/>
        </w:pBdr>
        <w:ind w:left="720" w:hanging="720"/>
        <w:jc w:val="both"/>
        <w:rPr>
          <w:b w:val="0"/>
        </w:rPr>
      </w:pPr>
      <w:r>
        <w:rPr>
          <w:b w:val="0"/>
        </w:rPr>
        <w:t>A.</w:t>
      </w:r>
      <w:r>
        <w:tab/>
      </w:r>
      <w:r>
        <w:rPr>
          <w:b w:val="0"/>
        </w:rPr>
        <w:t xml:space="preserve">Yes.  </w:t>
      </w:r>
    </w:p>
    <w:p w14:paraId="26D251E7" w14:textId="1258B777" w:rsidR="000C7716" w:rsidRDefault="000C7716" w:rsidP="005E36BB">
      <w:pPr>
        <w:pStyle w:val="BodyText"/>
        <w:keepNext/>
        <w:keepLines/>
        <w:widowControl/>
        <w:pBdr>
          <w:left w:val="none" w:sz="0" w:space="0" w:color="auto"/>
        </w:pBdr>
        <w:ind w:left="720" w:hanging="720"/>
        <w:jc w:val="both"/>
      </w:pPr>
      <w:r w:rsidRPr="00831B03">
        <w:t>Q.</w:t>
      </w:r>
      <w:r>
        <w:rPr>
          <w:b w:val="0"/>
        </w:rPr>
        <w:tab/>
      </w:r>
      <w:r>
        <w:t>HOW DO THE COMMISSION’S RULES PROVIDE FOR MITIGATION OF BAD DEBT RELATED TO TRANSITION OR SYSTEM RESTORATION CHARGES?</w:t>
      </w:r>
    </w:p>
    <w:p w14:paraId="6D9CD3F8" w14:textId="1E4F2AB1" w:rsidR="000C7716" w:rsidRDefault="000C7716" w:rsidP="0050306C">
      <w:pPr>
        <w:pStyle w:val="BodyText"/>
        <w:widowControl/>
        <w:pBdr>
          <w:left w:val="none" w:sz="0" w:space="0" w:color="auto"/>
        </w:pBdr>
        <w:ind w:left="720" w:hanging="720"/>
        <w:jc w:val="both"/>
        <w:rPr>
          <w:b w:val="0"/>
        </w:rPr>
      </w:pPr>
      <w:r>
        <w:rPr>
          <w:b w:val="0"/>
        </w:rPr>
        <w:t>A.</w:t>
      </w:r>
      <w:r>
        <w:tab/>
      </w:r>
      <w:r w:rsidRPr="00CA75BF">
        <w:rPr>
          <w:b w:val="0"/>
          <w:bCs/>
        </w:rPr>
        <w:t xml:space="preserve">Commission </w:t>
      </w:r>
      <w:r w:rsidR="00CA75BF" w:rsidRPr="00CA75BF">
        <w:rPr>
          <w:b w:val="0"/>
          <w:bCs/>
        </w:rPr>
        <w:t>Rules (e.g.,</w:t>
      </w:r>
      <w:r w:rsidRPr="00CA75BF">
        <w:rPr>
          <w:b w:val="0"/>
          <w:bCs/>
        </w:rPr>
        <w:t xml:space="preserve"> 16 TAC § 25.108</w:t>
      </w:r>
      <w:r w:rsidR="00CA75BF" w:rsidRPr="00CA75BF">
        <w:rPr>
          <w:b w:val="0"/>
          <w:bCs/>
        </w:rPr>
        <w:t>)</w:t>
      </w:r>
      <w:r w:rsidR="735B592C" w:rsidRPr="00CA75BF">
        <w:rPr>
          <w:b w:val="0"/>
          <w:bCs/>
        </w:rPr>
        <w:t xml:space="preserve">, </w:t>
      </w:r>
      <w:r w:rsidR="00CA75BF" w:rsidRPr="00CA75BF">
        <w:rPr>
          <w:b w:val="0"/>
          <w:bCs/>
        </w:rPr>
        <w:t>Company’s</w:t>
      </w:r>
      <w:r>
        <w:rPr>
          <w:b w:val="0"/>
        </w:rPr>
        <w:t xml:space="preserve"> Tariff, and various </w:t>
      </w:r>
      <w:r w:rsidR="00CA75BF">
        <w:rPr>
          <w:b w:val="0"/>
        </w:rPr>
        <w:t xml:space="preserve">Commission </w:t>
      </w:r>
      <w:r>
        <w:rPr>
          <w:b w:val="0"/>
        </w:rPr>
        <w:t xml:space="preserve">securitization financing orders </w:t>
      </w:r>
      <w:r w:rsidR="00CA75BF">
        <w:rPr>
          <w:b w:val="0"/>
        </w:rPr>
        <w:t xml:space="preserve">(e.g., Docket Nos. 52321 and 52322) </w:t>
      </w:r>
      <w:r>
        <w:rPr>
          <w:b w:val="0"/>
        </w:rPr>
        <w:t xml:space="preserve">require </w:t>
      </w:r>
      <w:r w:rsidR="50DEA34C">
        <w:rPr>
          <w:b w:val="0"/>
        </w:rPr>
        <w:t>CRs</w:t>
      </w:r>
      <w:r>
        <w:rPr>
          <w:b w:val="0"/>
        </w:rPr>
        <w:t xml:space="preserve"> to provide security for </w:t>
      </w:r>
      <w:r w:rsidR="002839A1">
        <w:rPr>
          <w:b w:val="0"/>
        </w:rPr>
        <w:t>Transition Charges (“</w:t>
      </w:r>
      <w:r w:rsidRPr="00183989">
        <w:rPr>
          <w:b w:val="0"/>
        </w:rPr>
        <w:t>TCs</w:t>
      </w:r>
      <w:r w:rsidR="002839A1" w:rsidRPr="00183989">
        <w:rPr>
          <w:b w:val="0"/>
        </w:rPr>
        <w:t>”)</w:t>
      </w:r>
      <w:r w:rsidRPr="00183989">
        <w:rPr>
          <w:b w:val="0"/>
        </w:rPr>
        <w:t xml:space="preserve"> and </w:t>
      </w:r>
      <w:r w:rsidR="002839A1" w:rsidRPr="00183989">
        <w:rPr>
          <w:b w:val="0"/>
        </w:rPr>
        <w:t>System Restoration Charges (“</w:t>
      </w:r>
      <w:r w:rsidRPr="00183989">
        <w:rPr>
          <w:b w:val="0"/>
        </w:rPr>
        <w:t>SRCs</w:t>
      </w:r>
      <w:r w:rsidR="002839A1" w:rsidRPr="00183989">
        <w:rPr>
          <w:b w:val="0"/>
        </w:rPr>
        <w:t>”)</w:t>
      </w:r>
      <w:r w:rsidRPr="00183989">
        <w:rPr>
          <w:b w:val="0"/>
        </w:rPr>
        <w:t>.</w:t>
      </w:r>
      <w:r>
        <w:rPr>
          <w:b w:val="0"/>
        </w:rPr>
        <w:t xml:space="preserve">  This security may be in the form of a cash deposit, letter of credit, affiliate guarantee, or other form of security.  In lieu of security, </w:t>
      </w:r>
      <w:r w:rsidR="00A931A9">
        <w:rPr>
          <w:b w:val="0"/>
        </w:rPr>
        <w:t xml:space="preserve">CRs </w:t>
      </w:r>
      <w:r>
        <w:rPr>
          <w:b w:val="0"/>
        </w:rPr>
        <w:t xml:space="preserve">may show that they have an investment-grade credit rating; however, </w:t>
      </w:r>
      <w:r w:rsidRPr="005A0CE0">
        <w:rPr>
          <w:b w:val="0"/>
        </w:rPr>
        <w:t xml:space="preserve">only </w:t>
      </w:r>
      <w:r w:rsidR="50B587CD" w:rsidRPr="00183989">
        <w:rPr>
          <w:b w:val="0"/>
        </w:rPr>
        <w:t>two</w:t>
      </w:r>
      <w:r w:rsidRPr="005A0CE0">
        <w:rPr>
          <w:b w:val="0"/>
        </w:rPr>
        <w:t xml:space="preserve"> of</w:t>
      </w:r>
      <w:r>
        <w:rPr>
          <w:b w:val="0"/>
        </w:rPr>
        <w:t xml:space="preserve"> the approximately </w:t>
      </w:r>
      <w:r w:rsidR="0D73F932" w:rsidRPr="00183989">
        <w:rPr>
          <w:b w:val="0"/>
        </w:rPr>
        <w:t>81</w:t>
      </w:r>
      <w:r w:rsidRPr="00183989">
        <w:rPr>
          <w:b w:val="0"/>
        </w:rPr>
        <w:t xml:space="preserve"> CRs</w:t>
      </w:r>
      <w:r>
        <w:rPr>
          <w:b w:val="0"/>
        </w:rPr>
        <w:t xml:space="preserve"> active in CenterPoint Houston’s service territory currently have an investment-grade credit rating.</w:t>
      </w:r>
    </w:p>
    <w:p w14:paraId="347CD51E" w14:textId="77777777" w:rsidR="000C7716" w:rsidRDefault="000C7716" w:rsidP="0050306C">
      <w:pPr>
        <w:pStyle w:val="BodyText"/>
        <w:keepNext/>
        <w:widowControl/>
        <w:pBdr>
          <w:left w:val="none" w:sz="0" w:space="0" w:color="auto"/>
        </w:pBdr>
        <w:ind w:left="720" w:hanging="720"/>
        <w:jc w:val="both"/>
      </w:pPr>
      <w:r w:rsidRPr="00831B03">
        <w:t>Q.</w:t>
      </w:r>
      <w:r>
        <w:rPr>
          <w:b w:val="0"/>
        </w:rPr>
        <w:tab/>
      </w:r>
      <w:r>
        <w:t>HOW DO THE COMMISSION’S RULES PROVIDE FOR MITIGATION OF BAD DEBT RELATED TO OTHER DELIVERY CHARGES?</w:t>
      </w:r>
    </w:p>
    <w:p w14:paraId="3408BBD6" w14:textId="77777777" w:rsidR="000C7716" w:rsidRDefault="000C7716" w:rsidP="0050306C">
      <w:pPr>
        <w:pStyle w:val="BodyText"/>
        <w:widowControl/>
        <w:pBdr>
          <w:left w:val="none" w:sz="0" w:space="0" w:color="auto"/>
        </w:pBdr>
        <w:ind w:left="720" w:hanging="720"/>
        <w:jc w:val="both"/>
        <w:rPr>
          <w:b w:val="0"/>
        </w:rPr>
      </w:pPr>
      <w:r>
        <w:rPr>
          <w:b w:val="0"/>
        </w:rPr>
        <w:t>A.</w:t>
      </w:r>
      <w:r>
        <w:tab/>
      </w:r>
      <w:r>
        <w:rPr>
          <w:b w:val="0"/>
        </w:rPr>
        <w:t xml:space="preserve">The Tariff for Retail Delivery Service allows the Company to collect deposits to secure non-securitization related Delivery Charges only after a CR defaults, and for two years after the default.  While this provision provides limited mitigation for bad debt exposure after a CR default, the Tariff itself provides no mitigation for the original default.  </w:t>
      </w:r>
    </w:p>
    <w:p w14:paraId="4E1AD5B6" w14:textId="6A866BD2" w:rsidR="000C7716" w:rsidRDefault="000C7716" w:rsidP="0050306C">
      <w:pPr>
        <w:pStyle w:val="BodyText"/>
        <w:widowControl/>
        <w:pBdr>
          <w:left w:val="none" w:sz="0" w:space="0" w:color="auto"/>
        </w:pBdr>
        <w:ind w:left="720" w:hanging="810"/>
        <w:jc w:val="both"/>
        <w:rPr>
          <w:b w:val="0"/>
        </w:rPr>
      </w:pPr>
      <w:r>
        <w:tab/>
      </w:r>
      <w:r w:rsidR="00441503">
        <w:tab/>
      </w:r>
      <w:r>
        <w:rPr>
          <w:b w:val="0"/>
        </w:rPr>
        <w:t>16 TAC § 25.107</w:t>
      </w:r>
      <w:r w:rsidR="00416087">
        <w:rPr>
          <w:b w:val="0"/>
        </w:rPr>
        <w:t>(j)(2)</w:t>
      </w:r>
      <w:r w:rsidR="735B592C">
        <w:rPr>
          <w:b w:val="0"/>
        </w:rPr>
        <w:t>,</w:t>
      </w:r>
      <w:r w:rsidRPr="1E8A8C27">
        <w:rPr>
          <w:b w:val="0"/>
          <w:i/>
          <w:iCs/>
        </w:rPr>
        <w:t xml:space="preserve"> Certification of Retail Electric Providers (REPs</w:t>
      </w:r>
      <w:r w:rsidR="735B592C" w:rsidRPr="1E8A8C27">
        <w:rPr>
          <w:b w:val="0"/>
          <w:i/>
          <w:iCs/>
        </w:rPr>
        <w:t>)</w:t>
      </w:r>
      <w:r w:rsidR="00416087">
        <w:rPr>
          <w:b w:val="0"/>
        </w:rPr>
        <w:t xml:space="preserve"> requires TDUs,</w:t>
      </w:r>
      <w:r>
        <w:rPr>
          <w:b w:val="0"/>
        </w:rPr>
        <w:t xml:space="preserve"> such as CenterPoint Houston</w:t>
      </w:r>
      <w:r w:rsidR="00416087">
        <w:rPr>
          <w:b w:val="0"/>
        </w:rPr>
        <w:t>,</w:t>
      </w:r>
      <w:r>
        <w:rPr>
          <w:b w:val="0"/>
        </w:rPr>
        <w:t xml:space="preserve"> to create a regulatory asset for bad </w:t>
      </w:r>
      <w:r>
        <w:rPr>
          <w:b w:val="0"/>
        </w:rPr>
        <w:lastRenderedPageBreak/>
        <w:t xml:space="preserve">debt expense related to </w:t>
      </w:r>
      <w:r w:rsidR="00416087">
        <w:rPr>
          <w:b w:val="0"/>
        </w:rPr>
        <w:t>a</w:t>
      </w:r>
      <w:r w:rsidR="735B592C">
        <w:rPr>
          <w:b w:val="0"/>
        </w:rPr>
        <w:t xml:space="preserve"> </w:t>
      </w:r>
      <w:r>
        <w:rPr>
          <w:b w:val="0"/>
        </w:rPr>
        <w:t xml:space="preserve">REP default on </w:t>
      </w:r>
      <w:r w:rsidR="00416087">
        <w:rPr>
          <w:b w:val="0"/>
        </w:rPr>
        <w:t>d</w:t>
      </w:r>
      <w:r w:rsidR="735B592C">
        <w:rPr>
          <w:b w:val="0"/>
        </w:rPr>
        <w:t xml:space="preserve">elivery </w:t>
      </w:r>
      <w:r w:rsidR="00416087">
        <w:rPr>
          <w:b w:val="0"/>
        </w:rPr>
        <w:t>c</w:t>
      </w:r>
      <w:r w:rsidR="735B592C">
        <w:rPr>
          <w:b w:val="0"/>
        </w:rPr>
        <w:t>harges</w:t>
      </w:r>
      <w:r>
        <w:rPr>
          <w:b w:val="0"/>
        </w:rPr>
        <w:t>, the amortization of which is to be included as a recoverable cost in the utility’s next rate case.</w:t>
      </w:r>
    </w:p>
    <w:p w14:paraId="1CEE5136" w14:textId="37E85B38" w:rsidR="00072839" w:rsidRDefault="00072839" w:rsidP="00072839">
      <w:pPr>
        <w:pStyle w:val="BodyText"/>
        <w:widowControl/>
        <w:pBdr>
          <w:left w:val="none" w:sz="0" w:space="0" w:color="auto"/>
        </w:pBdr>
        <w:ind w:left="720" w:hanging="720"/>
        <w:jc w:val="both"/>
      </w:pPr>
      <w:r w:rsidRPr="00831B03">
        <w:t>Q.</w:t>
      </w:r>
      <w:r>
        <w:rPr>
          <w:b w:val="0"/>
        </w:rPr>
        <w:tab/>
      </w:r>
      <w:r>
        <w:t xml:space="preserve">HOW </w:t>
      </w:r>
      <w:r w:rsidRPr="00346D28">
        <w:t xml:space="preserve">DOES </w:t>
      </w:r>
      <w:r>
        <w:t>CENTERPOINT HOUSTON CONTROL D</w:t>
      </w:r>
      <w:r w:rsidRPr="00346D28">
        <w:t xml:space="preserve">ELINQUENCIES AND MITIGATE THE EFFECT OF </w:t>
      </w:r>
      <w:r>
        <w:t>CR</w:t>
      </w:r>
      <w:r w:rsidRPr="00346D28">
        <w:t xml:space="preserve"> DEFAULTS AND BANKRUPTCIES?</w:t>
      </w:r>
    </w:p>
    <w:p w14:paraId="7DAE4068" w14:textId="58CC4642" w:rsidR="00072839" w:rsidRDefault="00072839" w:rsidP="00072839">
      <w:pPr>
        <w:pStyle w:val="BodyText"/>
        <w:widowControl/>
        <w:pBdr>
          <w:left w:val="none" w:sz="0" w:space="0" w:color="auto"/>
        </w:pBdr>
        <w:ind w:left="720" w:hanging="720"/>
        <w:jc w:val="both"/>
        <w:rPr>
          <w:b w:val="0"/>
        </w:rPr>
      </w:pPr>
      <w:r>
        <w:rPr>
          <w:b w:val="0"/>
        </w:rPr>
        <w:t>A.</w:t>
      </w:r>
      <w:r>
        <w:tab/>
      </w:r>
      <w:r w:rsidRPr="00183989">
        <w:rPr>
          <w:b w:val="0"/>
        </w:rPr>
        <w:t xml:space="preserve">The Credit Risk Group, which used to be part of </w:t>
      </w:r>
      <w:r w:rsidR="004C266F">
        <w:rPr>
          <w:b w:val="0"/>
        </w:rPr>
        <w:t>the EMO</w:t>
      </w:r>
      <w:r w:rsidRPr="00183989">
        <w:rPr>
          <w:b w:val="0"/>
        </w:rPr>
        <w:t>,</w:t>
      </w:r>
      <w:r>
        <w:rPr>
          <w:b w:val="0"/>
        </w:rPr>
        <w:t xml:space="preserve"> is responsible for mitigating bad debt for CenterPoint Houston.  Credit Risk has assigned Credit Risk Analysts who monitor CR account activity on a daily basis, looking at the incoming invoice payments to detect potential CR financial distress.  Credit Risk Analysts communicate with CRs to resolve invoice disputes and/or collect outstanding invoices to reduce or eliminate delinquencies, which ultimately mitigate defaults.  </w:t>
      </w:r>
    </w:p>
    <w:p w14:paraId="20E9D40A" w14:textId="73784AE9" w:rsidR="00072839" w:rsidRPr="009B5FF6" w:rsidRDefault="00072839" w:rsidP="00072839">
      <w:pPr>
        <w:pStyle w:val="BodyText"/>
        <w:widowControl/>
        <w:pBdr>
          <w:left w:val="none" w:sz="0" w:space="0" w:color="auto"/>
        </w:pBdr>
        <w:ind w:left="720" w:firstLine="720"/>
        <w:jc w:val="both"/>
        <w:rPr>
          <w:b w:val="0"/>
        </w:rPr>
      </w:pPr>
      <w:r>
        <w:rPr>
          <w:b w:val="0"/>
        </w:rPr>
        <w:t xml:space="preserve">Credit Risk Analysts also conduct quarterly </w:t>
      </w:r>
      <w:r w:rsidRPr="00A63716">
        <w:rPr>
          <w:b w:val="0"/>
        </w:rPr>
        <w:t xml:space="preserve">TC and SRC </w:t>
      </w:r>
      <w:r>
        <w:rPr>
          <w:b w:val="0"/>
        </w:rPr>
        <w:t xml:space="preserve">evaluations that involve analysis of a CR’s credit rating.  The rating of each CR is regularly analyzed to determine whether there has been a significant change since the previous analysis, and to determine if a change in the amount of any TC and SRC security deposit is warranted at the time of the review.  The Credit Risk </w:t>
      </w:r>
      <w:r w:rsidR="00416087">
        <w:rPr>
          <w:b w:val="0"/>
        </w:rPr>
        <w:t>g</w:t>
      </w:r>
      <w:r w:rsidR="740715B8">
        <w:rPr>
          <w:b w:val="0"/>
        </w:rPr>
        <w:t>roup</w:t>
      </w:r>
      <w:r>
        <w:rPr>
          <w:b w:val="0"/>
        </w:rPr>
        <w:t xml:space="preserve"> regularly reviews rating agency information to monitor CR financial </w:t>
      </w:r>
      <w:r w:rsidR="740715B8">
        <w:rPr>
          <w:b w:val="0"/>
        </w:rPr>
        <w:t>performance</w:t>
      </w:r>
      <w:r>
        <w:rPr>
          <w:b w:val="0"/>
        </w:rPr>
        <w:t xml:space="preserve"> during the period between quarterly credit rating reviews.  </w:t>
      </w:r>
    </w:p>
    <w:p w14:paraId="457839A8" w14:textId="654CD7C5" w:rsidR="00072839" w:rsidRPr="005A0CE0" w:rsidRDefault="00072839" w:rsidP="0050306C">
      <w:pPr>
        <w:pStyle w:val="BodyText"/>
        <w:widowControl/>
        <w:pBdr>
          <w:left w:val="none" w:sz="0" w:space="0" w:color="auto"/>
        </w:pBdr>
        <w:ind w:left="720" w:hanging="720"/>
        <w:jc w:val="both"/>
        <w:rPr>
          <w:b w:val="0"/>
        </w:rPr>
      </w:pPr>
      <w:r>
        <w:tab/>
      </w:r>
      <w:r>
        <w:tab/>
      </w:r>
      <w:r>
        <w:rPr>
          <w:b w:val="0"/>
        </w:rPr>
        <w:t xml:space="preserve">CenterPoint Houston is not currently permitted by </w:t>
      </w:r>
      <w:r w:rsidR="740715B8">
        <w:rPr>
          <w:b w:val="0"/>
        </w:rPr>
        <w:t>Commission</w:t>
      </w:r>
      <w:r w:rsidR="00416087">
        <w:rPr>
          <w:b w:val="0"/>
        </w:rPr>
        <w:t xml:space="preserve"> </w:t>
      </w:r>
      <w:r w:rsidR="740715B8">
        <w:rPr>
          <w:b w:val="0"/>
        </w:rPr>
        <w:t>rule</w:t>
      </w:r>
      <w:r>
        <w:rPr>
          <w:b w:val="0"/>
        </w:rPr>
        <w:t xml:space="preserve"> or </w:t>
      </w:r>
      <w:r w:rsidR="00416087">
        <w:rPr>
          <w:b w:val="0"/>
        </w:rPr>
        <w:t>Company’s</w:t>
      </w:r>
      <w:r>
        <w:rPr>
          <w:b w:val="0"/>
        </w:rPr>
        <w:t xml:space="preserve"> Tariff to charge any deposit amount or require other security in relation to the non-TC and non-SRC delivery charges except under limited circumstances, the Company is limited in its options for mitigating CR risk in the current market.  Thus, it is absolutely imperative that Credit Risk remains actively involved in </w:t>
      </w:r>
      <w:r>
        <w:rPr>
          <w:b w:val="0"/>
        </w:rPr>
        <w:lastRenderedPageBreak/>
        <w:t xml:space="preserve">managing the real-time CR account activity for the limited TC and SRC security deposits available for the Company’s protection, as well as the day-to-day payment activity for outstanding delivery charge invoices, in order to minimize the impact of a CR default and reduce the size of the resulting regulatory asset.  Credit Risk Analysts engage in daily open communication with CRs </w:t>
      </w:r>
      <w:r w:rsidR="00DE2B72">
        <w:rPr>
          <w:b w:val="0"/>
        </w:rPr>
        <w:t>regarding late payments</w:t>
      </w:r>
      <w:r>
        <w:rPr>
          <w:b w:val="0"/>
        </w:rPr>
        <w:t xml:space="preserve"> to resolve issues before a default situation occurs.  Credit Risk Analysts also communicate with new CRs to ensure that payment obligations under the Company’s Tariff are clearly understood.</w:t>
      </w:r>
    </w:p>
    <w:p w14:paraId="3048BA73" w14:textId="77777777" w:rsidR="00072839" w:rsidRDefault="00072839" w:rsidP="0050306C">
      <w:pPr>
        <w:pStyle w:val="BodyText"/>
        <w:widowControl/>
        <w:pBdr>
          <w:left w:val="none" w:sz="0" w:space="0" w:color="auto"/>
        </w:pBdr>
        <w:ind w:left="720" w:hanging="720"/>
        <w:jc w:val="both"/>
      </w:pPr>
      <w:r>
        <w:t>Q.</w:t>
      </w:r>
      <w:r>
        <w:tab/>
        <w:t>PLEASE DESCRIBE THE CREDIT RISK GROUP’S RESPONSIBILITIES FOR ADMINISTERING TRANSITION AND SYSTEM RESTORATION BONDS.</w:t>
      </w:r>
    </w:p>
    <w:p w14:paraId="71258E23" w14:textId="2D46B0EC" w:rsidR="00072839" w:rsidRDefault="00072839" w:rsidP="0050306C">
      <w:pPr>
        <w:pStyle w:val="BodyText"/>
        <w:widowControl/>
        <w:pBdr>
          <w:left w:val="none" w:sz="0" w:space="0" w:color="auto"/>
        </w:pBdr>
        <w:ind w:left="720" w:hanging="720"/>
        <w:jc w:val="both"/>
        <w:rPr>
          <w:b w:val="0"/>
        </w:rPr>
      </w:pPr>
      <w:r>
        <w:rPr>
          <w:b w:val="0"/>
        </w:rPr>
        <w:t>A.</w:t>
      </w:r>
      <w:r>
        <w:tab/>
      </w:r>
      <w:r>
        <w:rPr>
          <w:b w:val="0"/>
        </w:rPr>
        <w:t>Credit Risk conducts a thorough review of each CR’s bond deposit each quarter.  All TC and SRC deposits are forwarded to and held by the Trustee of the corresponding TC and SRC bonds</w:t>
      </w:r>
      <w:r w:rsidR="3CAB2644">
        <w:rPr>
          <w:b w:val="0"/>
        </w:rPr>
        <w:t>.</w:t>
      </w:r>
      <w:r>
        <w:rPr>
          <w:b w:val="0"/>
        </w:rPr>
        <w:t xml:space="preserve">  The review is performed to determine if the amount held by the Trustee is sufficient to cover the requirements of 16 </w:t>
      </w:r>
      <w:r w:rsidR="00DE2B72">
        <w:rPr>
          <w:b w:val="0"/>
        </w:rPr>
        <w:t>TAC</w:t>
      </w:r>
      <w:r>
        <w:rPr>
          <w:b w:val="0"/>
        </w:rPr>
        <w:t xml:space="preserve"> § 25.108 </w:t>
      </w:r>
      <w:r w:rsidR="740715B8">
        <w:rPr>
          <w:b w:val="0"/>
        </w:rPr>
        <w:t>,</w:t>
      </w:r>
      <w:r>
        <w:rPr>
          <w:b w:val="0"/>
        </w:rPr>
        <w:t xml:space="preserve"> </w:t>
      </w:r>
      <w:r w:rsidRPr="1E8A8C27">
        <w:rPr>
          <w:b w:val="0"/>
          <w:i/>
          <w:iCs/>
          <w:color w:val="000000" w:themeColor="text1"/>
        </w:rPr>
        <w:t>Financial Standards for Retail Electric Providers Regarding the Billing and Collection of Transition Charges</w:t>
      </w:r>
      <w:r w:rsidRPr="1E8A8C27">
        <w:rPr>
          <w:b w:val="0"/>
          <w:i/>
          <w:iCs/>
        </w:rPr>
        <w:t>,</w:t>
      </w:r>
      <w:r>
        <w:rPr>
          <w:b w:val="0"/>
        </w:rPr>
        <w:t xml:space="preserve"> and various securitization financing orders</w:t>
      </w:r>
      <w:r w:rsidR="00DE2B72">
        <w:rPr>
          <w:b w:val="0"/>
        </w:rPr>
        <w:t xml:space="preserve"> referenced above</w:t>
      </w:r>
      <w:r w:rsidR="740715B8">
        <w:rPr>
          <w:b w:val="0"/>
        </w:rPr>
        <w:t>.</w:t>
      </w:r>
      <w:r>
        <w:rPr>
          <w:b w:val="0"/>
        </w:rPr>
        <w:t xml:space="preserve">  In these cases, the deposit amounts are adjusted up or down to reflect changes in the CR’s load or changes to the various TC rates.</w:t>
      </w:r>
    </w:p>
    <w:p w14:paraId="43ABF410" w14:textId="140EA1E5" w:rsidR="006874C1" w:rsidRDefault="00285616" w:rsidP="0050306C">
      <w:pPr>
        <w:pStyle w:val="BodyText"/>
        <w:widowControl/>
        <w:pBdr>
          <w:left w:val="none" w:sz="0" w:space="0" w:color="auto"/>
        </w:pBdr>
        <w:ind w:left="720" w:hanging="720"/>
        <w:jc w:val="both"/>
        <w:rPr>
          <w:bCs/>
        </w:rPr>
      </w:pPr>
      <w:r>
        <w:rPr>
          <w:bCs/>
        </w:rPr>
        <w:t>Q.</w:t>
      </w:r>
      <w:r>
        <w:rPr>
          <w:bCs/>
        </w:rPr>
        <w:tab/>
        <w:t>WHAT EVENTS OR CIRCUMSTANCES DROVE THE CR BAD DEBT ACCUMULATED IN THE REGULATORY ASSET SINCE CENTERPOINT HOUSTON’S LAST RATE CASE?</w:t>
      </w:r>
    </w:p>
    <w:p w14:paraId="6DB9572D" w14:textId="0E63BA19" w:rsidR="00E47EF3" w:rsidRDefault="00285616" w:rsidP="0050306C">
      <w:pPr>
        <w:pStyle w:val="BodyText"/>
        <w:widowControl/>
        <w:pBdr>
          <w:left w:val="none" w:sz="0" w:space="0" w:color="auto"/>
        </w:pBdr>
        <w:ind w:left="720" w:hanging="720"/>
        <w:jc w:val="both"/>
        <w:rPr>
          <w:b w:val="0"/>
        </w:rPr>
      </w:pPr>
      <w:r w:rsidRPr="00441503">
        <w:rPr>
          <w:b w:val="0"/>
          <w:bCs/>
        </w:rPr>
        <w:lastRenderedPageBreak/>
        <w:t>A.</w:t>
      </w:r>
      <w:r>
        <w:tab/>
      </w:r>
      <w:r w:rsidR="00FC5842">
        <w:rPr>
          <w:b w:val="0"/>
        </w:rPr>
        <w:t>F</w:t>
      </w:r>
      <w:r>
        <w:rPr>
          <w:b w:val="0"/>
        </w:rPr>
        <w:t xml:space="preserve">ollowing Winter Storm Uri in February 2021 and the accompanying financial </w:t>
      </w:r>
      <w:r w:rsidR="00DE2B72">
        <w:rPr>
          <w:b w:val="0"/>
        </w:rPr>
        <w:t xml:space="preserve">challenges </w:t>
      </w:r>
      <w:r>
        <w:rPr>
          <w:b w:val="0"/>
        </w:rPr>
        <w:t>in the ERCOT wholesale energy market</w:t>
      </w:r>
      <w:r w:rsidRPr="00BE72F8">
        <w:rPr>
          <w:b w:val="0"/>
        </w:rPr>
        <w:t xml:space="preserve">, </w:t>
      </w:r>
      <w:r w:rsidR="27D1C6EB">
        <w:rPr>
          <w:b w:val="0"/>
        </w:rPr>
        <w:t>five</w:t>
      </w:r>
      <w:r w:rsidDel="00A52E9F">
        <w:rPr>
          <w:b w:val="0"/>
        </w:rPr>
        <w:t xml:space="preserve"> </w:t>
      </w:r>
      <w:r>
        <w:rPr>
          <w:b w:val="0"/>
        </w:rPr>
        <w:t xml:space="preserve">CRs defaulted on delivery charge payments owed to CenterPoint Houston.  </w:t>
      </w:r>
      <w:r w:rsidRPr="00BE72F8">
        <w:rPr>
          <w:b w:val="0"/>
        </w:rPr>
        <w:t xml:space="preserve">After the Company’s efforts to collect the amounts owed were exhausted, the Company wrote off </w:t>
      </w:r>
      <w:r w:rsidR="00A52E9F" w:rsidRPr="00183989">
        <w:rPr>
          <w:b w:val="0"/>
        </w:rPr>
        <w:t xml:space="preserve">approximately </w:t>
      </w:r>
      <w:r w:rsidR="00FF069A" w:rsidRPr="00BE72F8">
        <w:rPr>
          <w:b w:val="0"/>
        </w:rPr>
        <w:t>$</w:t>
      </w:r>
      <w:r w:rsidR="00F90F5E">
        <w:rPr>
          <w:b w:val="0"/>
        </w:rPr>
        <w:t>7</w:t>
      </w:r>
      <w:r w:rsidR="00041D7A">
        <w:rPr>
          <w:b w:val="0"/>
        </w:rPr>
        <w:t>.9</w:t>
      </w:r>
      <w:r w:rsidR="00FF069A" w:rsidRPr="00183989">
        <w:rPr>
          <w:b w:val="0"/>
        </w:rPr>
        <w:t xml:space="preserve"> million</w:t>
      </w:r>
      <w:r w:rsidR="00FF069A" w:rsidRPr="00BE72F8">
        <w:rPr>
          <w:b w:val="0"/>
        </w:rPr>
        <w:t xml:space="preserve"> </w:t>
      </w:r>
      <w:r w:rsidRPr="00BE72F8">
        <w:rPr>
          <w:b w:val="0"/>
        </w:rPr>
        <w:t xml:space="preserve">to a </w:t>
      </w:r>
      <w:r w:rsidR="00DE2B72">
        <w:rPr>
          <w:b w:val="0"/>
        </w:rPr>
        <w:t>R</w:t>
      </w:r>
      <w:r w:rsidR="16857C98">
        <w:rPr>
          <w:b w:val="0"/>
        </w:rPr>
        <w:t xml:space="preserve">egulatory </w:t>
      </w:r>
      <w:r w:rsidR="00DE2B72">
        <w:rPr>
          <w:b w:val="0"/>
        </w:rPr>
        <w:t>A</w:t>
      </w:r>
      <w:r w:rsidR="16857C98">
        <w:rPr>
          <w:b w:val="0"/>
        </w:rPr>
        <w:t>sset.</w:t>
      </w:r>
      <w:r w:rsidRPr="00BE72F8">
        <w:rPr>
          <w:b w:val="0"/>
        </w:rPr>
        <w:t xml:space="preserve">  </w:t>
      </w:r>
      <w:r w:rsidR="003E5C13" w:rsidRPr="00BE72F8">
        <w:rPr>
          <w:b w:val="0"/>
        </w:rPr>
        <w:t xml:space="preserve">Figure </w:t>
      </w:r>
      <w:r w:rsidR="00DE2B72">
        <w:rPr>
          <w:b w:val="0"/>
        </w:rPr>
        <w:t>2</w:t>
      </w:r>
      <w:r w:rsidR="003E5C13" w:rsidRPr="00BE72F8">
        <w:rPr>
          <w:b w:val="0"/>
        </w:rPr>
        <w:t xml:space="preserve"> </w:t>
      </w:r>
      <w:r w:rsidR="00FF069A" w:rsidRPr="00183989">
        <w:rPr>
          <w:b w:val="0"/>
        </w:rPr>
        <w:t xml:space="preserve">below </w:t>
      </w:r>
      <w:r w:rsidR="003E5C13" w:rsidRPr="00BE72F8">
        <w:rPr>
          <w:b w:val="0"/>
        </w:rPr>
        <w:t>lists the CRs that defaulted and the corresponding amounts written off.</w:t>
      </w:r>
      <w:r w:rsidR="003E5C13">
        <w:rPr>
          <w:b w:val="0"/>
        </w:rPr>
        <w:t xml:space="preserve">  </w:t>
      </w:r>
    </w:p>
    <w:p w14:paraId="637D88A7" w14:textId="767F83A8" w:rsidR="007925AE" w:rsidRDefault="1BA16710" w:rsidP="006C7AC7">
      <w:pPr>
        <w:pStyle w:val="BodyText"/>
        <w:widowControl/>
        <w:pBdr>
          <w:left w:val="none" w:sz="0" w:space="0" w:color="auto"/>
        </w:pBdr>
        <w:ind w:left="720" w:hanging="720"/>
        <w:jc w:val="center"/>
        <w:rPr>
          <w:b w:val="0"/>
        </w:rPr>
      </w:pPr>
      <w:r w:rsidRPr="1E8A8C27">
        <w:rPr>
          <w:bCs/>
          <w:szCs w:val="24"/>
        </w:rPr>
        <w:t xml:space="preserve">Figure </w:t>
      </w:r>
      <w:r w:rsidR="00DE2B72">
        <w:rPr>
          <w:bCs/>
          <w:szCs w:val="24"/>
        </w:rPr>
        <w:t>2</w:t>
      </w:r>
    </w:p>
    <w:tbl>
      <w:tblPr>
        <w:tblpPr w:leftFromText="180" w:rightFromText="180" w:vertAnchor="text" w:horzAnchor="margin" w:tblpXSpec="center" w:tblpY="35"/>
        <w:tblW w:w="8185" w:type="dxa"/>
        <w:tblLook w:val="04A0" w:firstRow="1" w:lastRow="0" w:firstColumn="1" w:lastColumn="0" w:noHBand="0" w:noVBand="1"/>
      </w:tblPr>
      <w:tblGrid>
        <w:gridCol w:w="4315"/>
        <w:gridCol w:w="2250"/>
        <w:gridCol w:w="1620"/>
      </w:tblGrid>
      <w:tr w:rsidR="007925AE" w:rsidRPr="00DE2B72" w14:paraId="4466648D" w14:textId="77777777" w:rsidTr="007925AE">
        <w:trPr>
          <w:trHeight w:val="300"/>
        </w:trPr>
        <w:tc>
          <w:tcPr>
            <w:tcW w:w="4315" w:type="dxa"/>
            <w:tcBorders>
              <w:top w:val="single" w:sz="4" w:space="0" w:color="auto"/>
              <w:left w:val="single" w:sz="4" w:space="0" w:color="auto"/>
              <w:bottom w:val="single" w:sz="4" w:space="0" w:color="auto"/>
              <w:right w:val="single" w:sz="4" w:space="0" w:color="auto"/>
            </w:tcBorders>
            <w:shd w:val="clear" w:color="auto" w:fill="auto"/>
            <w:noWrap/>
            <w:hideMark/>
          </w:tcPr>
          <w:p w14:paraId="61F04AC1" w14:textId="77777777" w:rsidR="007925AE" w:rsidRPr="00DE2B72" w:rsidRDefault="007925AE" w:rsidP="007925AE">
            <w:pPr>
              <w:jc w:val="center"/>
              <w:rPr>
                <w:b/>
                <w:sz w:val="22"/>
                <w:szCs w:val="22"/>
              </w:rPr>
            </w:pPr>
            <w:r w:rsidRPr="00DE2B72">
              <w:rPr>
                <w:b/>
                <w:sz w:val="22"/>
                <w:szCs w:val="22"/>
              </w:rPr>
              <w:t>Competitive Retailer</w:t>
            </w:r>
          </w:p>
        </w:tc>
        <w:tc>
          <w:tcPr>
            <w:tcW w:w="2250" w:type="dxa"/>
            <w:tcBorders>
              <w:top w:val="single" w:sz="4" w:space="0" w:color="auto"/>
              <w:left w:val="nil"/>
              <w:bottom w:val="single" w:sz="4" w:space="0" w:color="auto"/>
              <w:right w:val="single" w:sz="4" w:space="0" w:color="auto"/>
            </w:tcBorders>
            <w:shd w:val="clear" w:color="auto" w:fill="auto"/>
            <w:noWrap/>
            <w:hideMark/>
          </w:tcPr>
          <w:p w14:paraId="5A70B104" w14:textId="77777777" w:rsidR="007925AE" w:rsidRDefault="007925AE" w:rsidP="007925AE">
            <w:pPr>
              <w:jc w:val="center"/>
              <w:rPr>
                <w:b/>
                <w:sz w:val="22"/>
                <w:szCs w:val="22"/>
              </w:rPr>
            </w:pPr>
            <w:r w:rsidRPr="00DE2B72">
              <w:rPr>
                <w:b/>
                <w:sz w:val="22"/>
                <w:szCs w:val="22"/>
              </w:rPr>
              <w:t>Gross Default</w:t>
            </w:r>
            <w:r>
              <w:rPr>
                <w:b/>
                <w:sz w:val="22"/>
                <w:szCs w:val="22"/>
              </w:rPr>
              <w:t xml:space="preserve"> </w:t>
            </w:r>
          </w:p>
          <w:p w14:paraId="3043DDAA" w14:textId="77777777" w:rsidR="007925AE" w:rsidRPr="00DE2B72" w:rsidRDefault="007925AE" w:rsidP="007925AE">
            <w:pPr>
              <w:jc w:val="center"/>
              <w:rPr>
                <w:b/>
                <w:sz w:val="22"/>
                <w:szCs w:val="22"/>
              </w:rPr>
            </w:pPr>
            <w:r>
              <w:rPr>
                <w:b/>
                <w:sz w:val="22"/>
                <w:szCs w:val="22"/>
              </w:rPr>
              <w:t>($)</w:t>
            </w:r>
          </w:p>
        </w:tc>
        <w:tc>
          <w:tcPr>
            <w:tcW w:w="1620" w:type="dxa"/>
            <w:tcBorders>
              <w:top w:val="single" w:sz="4" w:space="0" w:color="auto"/>
              <w:left w:val="nil"/>
              <w:bottom w:val="single" w:sz="4" w:space="0" w:color="auto"/>
              <w:right w:val="single" w:sz="4" w:space="0" w:color="auto"/>
            </w:tcBorders>
            <w:shd w:val="clear" w:color="auto" w:fill="auto"/>
            <w:noWrap/>
            <w:hideMark/>
          </w:tcPr>
          <w:p w14:paraId="369B9C39" w14:textId="77777777" w:rsidR="007925AE" w:rsidRDefault="007925AE" w:rsidP="007925AE">
            <w:pPr>
              <w:jc w:val="center"/>
              <w:rPr>
                <w:b/>
                <w:sz w:val="22"/>
                <w:szCs w:val="22"/>
              </w:rPr>
            </w:pPr>
            <w:r w:rsidRPr="00DE2B72">
              <w:rPr>
                <w:b/>
                <w:sz w:val="22"/>
                <w:szCs w:val="22"/>
              </w:rPr>
              <w:t>Bad Debt</w:t>
            </w:r>
          </w:p>
          <w:p w14:paraId="0AC50BE7" w14:textId="77777777" w:rsidR="007925AE" w:rsidRPr="00DE2B72" w:rsidRDefault="007925AE" w:rsidP="007925AE">
            <w:pPr>
              <w:jc w:val="center"/>
              <w:rPr>
                <w:b/>
                <w:sz w:val="22"/>
                <w:szCs w:val="22"/>
              </w:rPr>
            </w:pPr>
            <w:r>
              <w:rPr>
                <w:b/>
                <w:sz w:val="22"/>
                <w:szCs w:val="22"/>
              </w:rPr>
              <w:t>($)</w:t>
            </w:r>
          </w:p>
        </w:tc>
      </w:tr>
      <w:tr w:rsidR="007925AE" w:rsidRPr="00DE2B72" w14:paraId="5056E26A" w14:textId="77777777" w:rsidTr="007925AE">
        <w:trPr>
          <w:trHeight w:val="300"/>
        </w:trPr>
        <w:tc>
          <w:tcPr>
            <w:tcW w:w="4315" w:type="dxa"/>
            <w:tcBorders>
              <w:top w:val="nil"/>
              <w:left w:val="single" w:sz="4" w:space="0" w:color="auto"/>
              <w:bottom w:val="single" w:sz="4" w:space="0" w:color="auto"/>
              <w:right w:val="single" w:sz="4" w:space="0" w:color="auto"/>
            </w:tcBorders>
            <w:shd w:val="clear" w:color="auto" w:fill="auto"/>
            <w:noWrap/>
            <w:hideMark/>
          </w:tcPr>
          <w:p w14:paraId="272C4194" w14:textId="77777777" w:rsidR="007925AE" w:rsidRPr="00DE2B72" w:rsidRDefault="007925AE" w:rsidP="007925AE">
            <w:pPr>
              <w:rPr>
                <w:sz w:val="22"/>
                <w:szCs w:val="22"/>
              </w:rPr>
            </w:pPr>
            <w:r w:rsidRPr="00DE2B72">
              <w:rPr>
                <w:sz w:val="22"/>
                <w:szCs w:val="22"/>
              </w:rPr>
              <w:t xml:space="preserve">BRILLIANT ENERGY LLC </w:t>
            </w:r>
          </w:p>
        </w:tc>
        <w:tc>
          <w:tcPr>
            <w:tcW w:w="2250" w:type="dxa"/>
            <w:tcBorders>
              <w:top w:val="nil"/>
              <w:left w:val="nil"/>
              <w:bottom w:val="single" w:sz="4" w:space="0" w:color="auto"/>
              <w:right w:val="single" w:sz="4" w:space="0" w:color="auto"/>
            </w:tcBorders>
            <w:shd w:val="clear" w:color="auto" w:fill="auto"/>
            <w:noWrap/>
            <w:vAlign w:val="center"/>
            <w:hideMark/>
          </w:tcPr>
          <w:p w14:paraId="67DC81C3" w14:textId="77777777" w:rsidR="007925AE" w:rsidRPr="00DE2B72" w:rsidRDefault="007925AE" w:rsidP="007925AE">
            <w:pPr>
              <w:jc w:val="right"/>
              <w:rPr>
                <w:sz w:val="22"/>
                <w:szCs w:val="22"/>
              </w:rPr>
            </w:pPr>
            <w:r w:rsidRPr="00DE2B72">
              <w:rPr>
                <w:sz w:val="22"/>
                <w:szCs w:val="22"/>
              </w:rPr>
              <w:t xml:space="preserve">         6,348,274.46 </w:t>
            </w:r>
          </w:p>
        </w:tc>
        <w:tc>
          <w:tcPr>
            <w:tcW w:w="1620" w:type="dxa"/>
            <w:tcBorders>
              <w:top w:val="nil"/>
              <w:left w:val="nil"/>
              <w:bottom w:val="single" w:sz="4" w:space="0" w:color="auto"/>
              <w:right w:val="single" w:sz="4" w:space="0" w:color="auto"/>
            </w:tcBorders>
            <w:shd w:val="clear" w:color="auto" w:fill="auto"/>
            <w:noWrap/>
            <w:vAlign w:val="center"/>
            <w:hideMark/>
          </w:tcPr>
          <w:p w14:paraId="116AFC1F" w14:textId="77777777" w:rsidR="007925AE" w:rsidRPr="00DE2B72" w:rsidRDefault="007925AE" w:rsidP="007925AE">
            <w:pPr>
              <w:jc w:val="right"/>
              <w:rPr>
                <w:sz w:val="22"/>
                <w:szCs w:val="22"/>
              </w:rPr>
            </w:pPr>
            <w:r w:rsidRPr="00DE2B72">
              <w:rPr>
                <w:sz w:val="22"/>
                <w:szCs w:val="22"/>
              </w:rPr>
              <w:t xml:space="preserve">2,391,033.20 </w:t>
            </w:r>
          </w:p>
        </w:tc>
      </w:tr>
      <w:tr w:rsidR="007925AE" w:rsidRPr="00DE2B72" w14:paraId="0DF30390" w14:textId="77777777" w:rsidTr="007925AE">
        <w:trPr>
          <w:trHeight w:val="300"/>
        </w:trPr>
        <w:tc>
          <w:tcPr>
            <w:tcW w:w="4315" w:type="dxa"/>
            <w:tcBorders>
              <w:top w:val="nil"/>
              <w:left w:val="single" w:sz="4" w:space="0" w:color="auto"/>
              <w:bottom w:val="single" w:sz="4" w:space="0" w:color="auto"/>
              <w:right w:val="single" w:sz="4" w:space="0" w:color="auto"/>
            </w:tcBorders>
            <w:shd w:val="clear" w:color="auto" w:fill="auto"/>
            <w:noWrap/>
            <w:hideMark/>
          </w:tcPr>
          <w:p w14:paraId="3038DC58" w14:textId="77777777" w:rsidR="007925AE" w:rsidRPr="00DE2B72" w:rsidRDefault="007925AE" w:rsidP="007925AE">
            <w:pPr>
              <w:rPr>
                <w:sz w:val="22"/>
                <w:szCs w:val="22"/>
              </w:rPr>
            </w:pPr>
            <w:r w:rsidRPr="00DE2B72">
              <w:rPr>
                <w:sz w:val="22"/>
                <w:szCs w:val="22"/>
              </w:rPr>
              <w:t xml:space="preserve">GBPOWER LLC  </w:t>
            </w:r>
          </w:p>
        </w:tc>
        <w:tc>
          <w:tcPr>
            <w:tcW w:w="2250" w:type="dxa"/>
            <w:tcBorders>
              <w:top w:val="nil"/>
              <w:left w:val="nil"/>
              <w:bottom w:val="single" w:sz="4" w:space="0" w:color="auto"/>
              <w:right w:val="single" w:sz="4" w:space="0" w:color="auto"/>
            </w:tcBorders>
            <w:shd w:val="clear" w:color="auto" w:fill="auto"/>
            <w:noWrap/>
            <w:vAlign w:val="center"/>
            <w:hideMark/>
          </w:tcPr>
          <w:p w14:paraId="1069DBA9" w14:textId="77777777" w:rsidR="007925AE" w:rsidRPr="00DE2B72" w:rsidRDefault="007925AE" w:rsidP="007925AE">
            <w:pPr>
              <w:jc w:val="right"/>
              <w:rPr>
                <w:sz w:val="22"/>
                <w:szCs w:val="22"/>
              </w:rPr>
            </w:pPr>
            <w:r w:rsidRPr="00DE2B72">
              <w:rPr>
                <w:sz w:val="22"/>
                <w:szCs w:val="22"/>
              </w:rPr>
              <w:t xml:space="preserve">102,727.77 </w:t>
            </w:r>
          </w:p>
        </w:tc>
        <w:tc>
          <w:tcPr>
            <w:tcW w:w="1620" w:type="dxa"/>
            <w:tcBorders>
              <w:top w:val="nil"/>
              <w:left w:val="nil"/>
              <w:bottom w:val="single" w:sz="4" w:space="0" w:color="auto"/>
              <w:right w:val="single" w:sz="4" w:space="0" w:color="auto"/>
            </w:tcBorders>
            <w:shd w:val="clear" w:color="auto" w:fill="auto"/>
            <w:noWrap/>
            <w:vAlign w:val="center"/>
            <w:hideMark/>
          </w:tcPr>
          <w:p w14:paraId="481CA501" w14:textId="77777777" w:rsidR="007925AE" w:rsidRPr="00DE2B72" w:rsidRDefault="007925AE" w:rsidP="007925AE">
            <w:pPr>
              <w:jc w:val="right"/>
              <w:rPr>
                <w:sz w:val="22"/>
                <w:szCs w:val="22"/>
              </w:rPr>
            </w:pPr>
            <w:r w:rsidRPr="00DE2B72">
              <w:rPr>
                <w:sz w:val="22"/>
                <w:szCs w:val="22"/>
              </w:rPr>
              <w:t xml:space="preserve">76,765.54 </w:t>
            </w:r>
          </w:p>
        </w:tc>
      </w:tr>
      <w:tr w:rsidR="007925AE" w:rsidRPr="00DE2B72" w14:paraId="3B25438E" w14:textId="77777777" w:rsidTr="007925AE">
        <w:trPr>
          <w:trHeight w:val="300"/>
        </w:trPr>
        <w:tc>
          <w:tcPr>
            <w:tcW w:w="4315" w:type="dxa"/>
            <w:tcBorders>
              <w:top w:val="nil"/>
              <w:left w:val="single" w:sz="4" w:space="0" w:color="auto"/>
              <w:bottom w:val="single" w:sz="4" w:space="0" w:color="auto"/>
              <w:right w:val="single" w:sz="4" w:space="0" w:color="auto"/>
            </w:tcBorders>
            <w:shd w:val="clear" w:color="auto" w:fill="auto"/>
            <w:noWrap/>
            <w:hideMark/>
          </w:tcPr>
          <w:p w14:paraId="3EDC69E1" w14:textId="77777777" w:rsidR="007925AE" w:rsidRPr="00DE2B72" w:rsidRDefault="007925AE" w:rsidP="007925AE">
            <w:pPr>
              <w:rPr>
                <w:sz w:val="22"/>
                <w:szCs w:val="22"/>
              </w:rPr>
            </w:pPr>
            <w:r w:rsidRPr="00DE2B72">
              <w:rPr>
                <w:sz w:val="22"/>
                <w:szCs w:val="22"/>
              </w:rPr>
              <w:t xml:space="preserve">GRIDDY ENERGY LLC </w:t>
            </w:r>
          </w:p>
        </w:tc>
        <w:tc>
          <w:tcPr>
            <w:tcW w:w="2250" w:type="dxa"/>
            <w:tcBorders>
              <w:top w:val="nil"/>
              <w:left w:val="nil"/>
              <w:bottom w:val="single" w:sz="4" w:space="0" w:color="auto"/>
              <w:right w:val="single" w:sz="4" w:space="0" w:color="auto"/>
            </w:tcBorders>
            <w:shd w:val="clear" w:color="auto" w:fill="auto"/>
            <w:noWrap/>
            <w:vAlign w:val="center"/>
            <w:hideMark/>
          </w:tcPr>
          <w:p w14:paraId="28D6A9EB" w14:textId="77777777" w:rsidR="007925AE" w:rsidRPr="00DE2B72" w:rsidRDefault="007925AE" w:rsidP="007925AE">
            <w:pPr>
              <w:jc w:val="right"/>
              <w:rPr>
                <w:sz w:val="22"/>
                <w:szCs w:val="22"/>
              </w:rPr>
            </w:pPr>
            <w:r w:rsidRPr="00DE2B72">
              <w:rPr>
                <w:sz w:val="22"/>
                <w:szCs w:val="22"/>
              </w:rPr>
              <w:t xml:space="preserve">1,269,117.82 </w:t>
            </w:r>
          </w:p>
        </w:tc>
        <w:tc>
          <w:tcPr>
            <w:tcW w:w="1620" w:type="dxa"/>
            <w:tcBorders>
              <w:top w:val="nil"/>
              <w:left w:val="nil"/>
              <w:bottom w:val="single" w:sz="4" w:space="0" w:color="auto"/>
              <w:right w:val="single" w:sz="4" w:space="0" w:color="auto"/>
            </w:tcBorders>
            <w:shd w:val="clear" w:color="auto" w:fill="auto"/>
            <w:noWrap/>
            <w:vAlign w:val="center"/>
            <w:hideMark/>
          </w:tcPr>
          <w:p w14:paraId="4E41534B" w14:textId="77777777" w:rsidR="007925AE" w:rsidRPr="00DE2B72" w:rsidRDefault="007925AE" w:rsidP="007925AE">
            <w:pPr>
              <w:jc w:val="right"/>
              <w:rPr>
                <w:sz w:val="22"/>
                <w:szCs w:val="22"/>
              </w:rPr>
            </w:pPr>
            <w:r w:rsidRPr="00DE2B72">
              <w:rPr>
                <w:sz w:val="22"/>
                <w:szCs w:val="22"/>
              </w:rPr>
              <w:t xml:space="preserve">1,185,100.79 </w:t>
            </w:r>
          </w:p>
        </w:tc>
      </w:tr>
      <w:tr w:rsidR="007925AE" w:rsidRPr="00DE2B72" w14:paraId="275442AC" w14:textId="77777777" w:rsidTr="007925AE">
        <w:trPr>
          <w:trHeight w:val="300"/>
        </w:trPr>
        <w:tc>
          <w:tcPr>
            <w:tcW w:w="4315" w:type="dxa"/>
            <w:tcBorders>
              <w:top w:val="nil"/>
              <w:left w:val="single" w:sz="4" w:space="0" w:color="auto"/>
              <w:bottom w:val="single" w:sz="4" w:space="0" w:color="auto"/>
              <w:right w:val="single" w:sz="4" w:space="0" w:color="auto"/>
            </w:tcBorders>
            <w:shd w:val="clear" w:color="auto" w:fill="auto"/>
            <w:noWrap/>
            <w:hideMark/>
          </w:tcPr>
          <w:p w14:paraId="1F9D7A3A" w14:textId="77777777" w:rsidR="007925AE" w:rsidRPr="00DE2B72" w:rsidRDefault="007925AE" w:rsidP="007925AE">
            <w:pPr>
              <w:rPr>
                <w:sz w:val="22"/>
                <w:szCs w:val="22"/>
              </w:rPr>
            </w:pPr>
            <w:r w:rsidRPr="00DE2B72">
              <w:rPr>
                <w:sz w:val="22"/>
                <w:szCs w:val="22"/>
              </w:rPr>
              <w:t xml:space="preserve">POWER OF TEXAS HOLDINGS INC </w:t>
            </w:r>
          </w:p>
        </w:tc>
        <w:tc>
          <w:tcPr>
            <w:tcW w:w="2250" w:type="dxa"/>
            <w:tcBorders>
              <w:top w:val="nil"/>
              <w:left w:val="nil"/>
              <w:bottom w:val="single" w:sz="4" w:space="0" w:color="auto"/>
              <w:right w:val="single" w:sz="4" w:space="0" w:color="auto"/>
            </w:tcBorders>
            <w:shd w:val="clear" w:color="auto" w:fill="auto"/>
            <w:noWrap/>
            <w:vAlign w:val="center"/>
            <w:hideMark/>
          </w:tcPr>
          <w:p w14:paraId="7766BC2A" w14:textId="77777777" w:rsidR="007925AE" w:rsidRPr="00DE2B72" w:rsidRDefault="007925AE" w:rsidP="007925AE">
            <w:pPr>
              <w:jc w:val="right"/>
              <w:rPr>
                <w:sz w:val="22"/>
                <w:szCs w:val="22"/>
              </w:rPr>
            </w:pPr>
            <w:r w:rsidRPr="00DE2B72">
              <w:rPr>
                <w:sz w:val="22"/>
                <w:szCs w:val="22"/>
              </w:rPr>
              <w:t xml:space="preserve">84,658.24 </w:t>
            </w:r>
          </w:p>
        </w:tc>
        <w:tc>
          <w:tcPr>
            <w:tcW w:w="1620" w:type="dxa"/>
            <w:tcBorders>
              <w:top w:val="nil"/>
              <w:left w:val="nil"/>
              <w:bottom w:val="single" w:sz="4" w:space="0" w:color="auto"/>
              <w:right w:val="single" w:sz="4" w:space="0" w:color="auto"/>
            </w:tcBorders>
            <w:shd w:val="clear" w:color="auto" w:fill="auto"/>
            <w:noWrap/>
            <w:vAlign w:val="center"/>
            <w:hideMark/>
          </w:tcPr>
          <w:p w14:paraId="3B4D80D5" w14:textId="77777777" w:rsidR="007925AE" w:rsidRPr="00DE2B72" w:rsidRDefault="007925AE" w:rsidP="007925AE">
            <w:pPr>
              <w:jc w:val="right"/>
              <w:rPr>
                <w:sz w:val="22"/>
                <w:szCs w:val="22"/>
              </w:rPr>
            </w:pPr>
            <w:r w:rsidRPr="00DE2B72">
              <w:rPr>
                <w:sz w:val="22"/>
                <w:szCs w:val="22"/>
              </w:rPr>
              <w:t xml:space="preserve">75,858.24 </w:t>
            </w:r>
          </w:p>
        </w:tc>
      </w:tr>
      <w:tr w:rsidR="007925AE" w:rsidRPr="00DE2B72" w14:paraId="459DBEDF" w14:textId="77777777" w:rsidTr="007925AE">
        <w:trPr>
          <w:trHeight w:val="300"/>
        </w:trPr>
        <w:tc>
          <w:tcPr>
            <w:tcW w:w="4315" w:type="dxa"/>
            <w:tcBorders>
              <w:top w:val="nil"/>
              <w:left w:val="single" w:sz="4" w:space="0" w:color="auto"/>
              <w:bottom w:val="single" w:sz="4" w:space="0" w:color="auto"/>
              <w:right w:val="single" w:sz="4" w:space="0" w:color="auto"/>
            </w:tcBorders>
            <w:shd w:val="clear" w:color="auto" w:fill="auto"/>
            <w:noWrap/>
            <w:hideMark/>
          </w:tcPr>
          <w:p w14:paraId="668E8B69" w14:textId="77777777" w:rsidR="007925AE" w:rsidRPr="00DE2B72" w:rsidRDefault="007925AE" w:rsidP="007925AE">
            <w:pPr>
              <w:rPr>
                <w:sz w:val="22"/>
                <w:szCs w:val="22"/>
              </w:rPr>
            </w:pPr>
            <w:r w:rsidRPr="00DE2B72">
              <w:rPr>
                <w:sz w:val="22"/>
                <w:szCs w:val="22"/>
              </w:rPr>
              <w:t xml:space="preserve">ENTRUST ENERGY INC </w:t>
            </w:r>
          </w:p>
        </w:tc>
        <w:tc>
          <w:tcPr>
            <w:tcW w:w="2250" w:type="dxa"/>
            <w:tcBorders>
              <w:top w:val="nil"/>
              <w:left w:val="nil"/>
              <w:bottom w:val="single" w:sz="4" w:space="0" w:color="auto"/>
              <w:right w:val="single" w:sz="4" w:space="0" w:color="auto"/>
            </w:tcBorders>
            <w:shd w:val="clear" w:color="auto" w:fill="auto"/>
            <w:noWrap/>
            <w:vAlign w:val="center"/>
            <w:hideMark/>
          </w:tcPr>
          <w:p w14:paraId="05872D90" w14:textId="77777777" w:rsidR="007925AE" w:rsidRPr="00DE2B72" w:rsidRDefault="007925AE" w:rsidP="007925AE">
            <w:pPr>
              <w:jc w:val="right"/>
              <w:rPr>
                <w:sz w:val="22"/>
                <w:szCs w:val="22"/>
              </w:rPr>
            </w:pPr>
            <w:r w:rsidRPr="00DE2B72">
              <w:rPr>
                <w:sz w:val="22"/>
                <w:szCs w:val="22"/>
              </w:rPr>
              <w:t xml:space="preserve">4,690,631.02 </w:t>
            </w:r>
          </w:p>
        </w:tc>
        <w:tc>
          <w:tcPr>
            <w:tcW w:w="1620" w:type="dxa"/>
            <w:tcBorders>
              <w:top w:val="nil"/>
              <w:left w:val="nil"/>
              <w:bottom w:val="single" w:sz="4" w:space="0" w:color="auto"/>
              <w:right w:val="single" w:sz="4" w:space="0" w:color="auto"/>
            </w:tcBorders>
            <w:shd w:val="clear" w:color="auto" w:fill="auto"/>
            <w:noWrap/>
            <w:vAlign w:val="center"/>
            <w:hideMark/>
          </w:tcPr>
          <w:p w14:paraId="2DEBAECD" w14:textId="77777777" w:rsidR="007925AE" w:rsidRPr="00DE2B72" w:rsidRDefault="007925AE" w:rsidP="007925AE">
            <w:pPr>
              <w:jc w:val="right"/>
              <w:rPr>
                <w:sz w:val="22"/>
                <w:szCs w:val="22"/>
              </w:rPr>
            </w:pPr>
            <w:r w:rsidRPr="00DE2B72">
              <w:rPr>
                <w:sz w:val="22"/>
                <w:szCs w:val="22"/>
              </w:rPr>
              <w:t xml:space="preserve">4,164,612.48 </w:t>
            </w:r>
          </w:p>
        </w:tc>
      </w:tr>
      <w:tr w:rsidR="007925AE" w:rsidRPr="00DE2B72" w14:paraId="60930784" w14:textId="77777777" w:rsidTr="007925AE">
        <w:trPr>
          <w:trHeight w:val="300"/>
        </w:trPr>
        <w:tc>
          <w:tcPr>
            <w:tcW w:w="4315" w:type="dxa"/>
            <w:tcBorders>
              <w:top w:val="nil"/>
              <w:left w:val="single" w:sz="4" w:space="0" w:color="auto"/>
              <w:bottom w:val="single" w:sz="4" w:space="0" w:color="auto"/>
              <w:right w:val="single" w:sz="4" w:space="0" w:color="auto"/>
            </w:tcBorders>
            <w:shd w:val="clear" w:color="auto" w:fill="auto"/>
            <w:noWrap/>
            <w:hideMark/>
          </w:tcPr>
          <w:p w14:paraId="4FB04707" w14:textId="77777777" w:rsidR="007925AE" w:rsidRPr="00DE2B72" w:rsidRDefault="007925AE" w:rsidP="007925AE">
            <w:pPr>
              <w:jc w:val="right"/>
              <w:rPr>
                <w:b/>
                <w:sz w:val="22"/>
                <w:szCs w:val="22"/>
              </w:rPr>
            </w:pPr>
            <w:r w:rsidRPr="00DE2B72">
              <w:rPr>
                <w:b/>
                <w:sz w:val="22"/>
                <w:szCs w:val="22"/>
              </w:rPr>
              <w:t xml:space="preserve"> Total</w:t>
            </w:r>
            <w:r>
              <w:rPr>
                <w:b/>
                <w:sz w:val="22"/>
                <w:szCs w:val="22"/>
              </w:rPr>
              <w:t>:</w:t>
            </w:r>
            <w:r w:rsidRPr="00DE2B72">
              <w:rPr>
                <w:b/>
                <w:sz w:val="22"/>
                <w:szCs w:val="22"/>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14:paraId="38A1C577" w14:textId="77777777" w:rsidR="007925AE" w:rsidRPr="00DE2B72" w:rsidRDefault="007925AE" w:rsidP="007925AE">
            <w:pPr>
              <w:jc w:val="right"/>
              <w:rPr>
                <w:b/>
                <w:sz w:val="22"/>
                <w:szCs w:val="22"/>
              </w:rPr>
            </w:pPr>
            <w:r w:rsidRPr="00DE2B72">
              <w:rPr>
                <w:b/>
                <w:sz w:val="22"/>
                <w:szCs w:val="22"/>
              </w:rPr>
              <w:t xml:space="preserve">12,495,409.31 </w:t>
            </w:r>
          </w:p>
        </w:tc>
        <w:tc>
          <w:tcPr>
            <w:tcW w:w="1620" w:type="dxa"/>
            <w:tcBorders>
              <w:top w:val="nil"/>
              <w:left w:val="nil"/>
              <w:bottom w:val="single" w:sz="4" w:space="0" w:color="auto"/>
              <w:right w:val="single" w:sz="4" w:space="0" w:color="auto"/>
            </w:tcBorders>
            <w:shd w:val="clear" w:color="auto" w:fill="auto"/>
            <w:noWrap/>
            <w:vAlign w:val="center"/>
            <w:hideMark/>
          </w:tcPr>
          <w:p w14:paraId="31212B9E" w14:textId="77777777" w:rsidR="007925AE" w:rsidRPr="00DE2B72" w:rsidRDefault="007925AE" w:rsidP="007925AE">
            <w:pPr>
              <w:jc w:val="right"/>
              <w:rPr>
                <w:b/>
                <w:sz w:val="22"/>
                <w:szCs w:val="22"/>
              </w:rPr>
            </w:pPr>
            <w:r w:rsidRPr="00DE2B72">
              <w:rPr>
                <w:b/>
                <w:sz w:val="22"/>
                <w:szCs w:val="22"/>
              </w:rPr>
              <w:t xml:space="preserve">7,893,370.25 </w:t>
            </w:r>
          </w:p>
        </w:tc>
      </w:tr>
    </w:tbl>
    <w:p w14:paraId="7FFA3648" w14:textId="7246ADA4" w:rsidR="00FF069A" w:rsidRDefault="00FF069A" w:rsidP="006C7AC7">
      <w:pPr>
        <w:pStyle w:val="BodyText"/>
        <w:widowControl/>
        <w:pBdr>
          <w:left w:val="none" w:sz="0" w:space="0" w:color="auto"/>
        </w:pBdr>
        <w:ind w:left="720" w:hanging="720"/>
        <w:jc w:val="center"/>
        <w:rPr>
          <w:b w:val="0"/>
        </w:rPr>
      </w:pPr>
    </w:p>
    <w:p w14:paraId="78C61558" w14:textId="569CEE37" w:rsidR="003E5C13" w:rsidRDefault="003E5C13" w:rsidP="000C7716">
      <w:pPr>
        <w:pStyle w:val="BodyText"/>
        <w:widowControl/>
        <w:pBdr>
          <w:left w:val="none" w:sz="0" w:space="0" w:color="auto"/>
        </w:pBdr>
        <w:ind w:left="720" w:hanging="720"/>
        <w:jc w:val="both"/>
        <w:rPr>
          <w:bCs/>
        </w:rPr>
      </w:pPr>
      <w:r>
        <w:rPr>
          <w:bCs/>
        </w:rPr>
        <w:t>Q</w:t>
      </w:r>
      <w:r w:rsidR="00DD6A7A">
        <w:rPr>
          <w:bCs/>
        </w:rPr>
        <w:t>.</w:t>
      </w:r>
      <w:r w:rsidR="00DD6A7A">
        <w:rPr>
          <w:b w:val="0"/>
        </w:rPr>
        <w:tab/>
      </w:r>
      <w:r w:rsidR="00DD6A7A">
        <w:rPr>
          <w:bCs/>
        </w:rPr>
        <w:t>WHAT STEPS DID CENTERPOINT HOUSTON TAKE TO COLLECT THE POST-URI DEFAULTS PRIOR TO WRITING THEM OFF TO THE REGULATORY ASSET?</w:t>
      </w:r>
    </w:p>
    <w:p w14:paraId="1DE8CA68" w14:textId="44B42933" w:rsidR="00B437D4" w:rsidRDefault="00DD6A7A" w:rsidP="000C7716">
      <w:pPr>
        <w:pStyle w:val="BodyText"/>
        <w:widowControl/>
        <w:pBdr>
          <w:left w:val="none" w:sz="0" w:space="0" w:color="auto"/>
        </w:pBdr>
        <w:ind w:left="720" w:hanging="720"/>
        <w:jc w:val="both"/>
        <w:rPr>
          <w:bCs/>
        </w:rPr>
      </w:pPr>
      <w:r w:rsidRPr="00441503">
        <w:rPr>
          <w:b w:val="0"/>
        </w:rPr>
        <w:t>A.</w:t>
      </w:r>
      <w:r>
        <w:rPr>
          <w:bCs/>
        </w:rPr>
        <w:tab/>
      </w:r>
      <w:r>
        <w:rPr>
          <w:b w:val="0"/>
        </w:rPr>
        <w:t xml:space="preserve">CenterPoint Houston communicated with the </w:t>
      </w:r>
      <w:r w:rsidR="00EE3053">
        <w:rPr>
          <w:b w:val="0"/>
        </w:rPr>
        <w:t>defaulted</w:t>
      </w:r>
      <w:r>
        <w:rPr>
          <w:b w:val="0"/>
        </w:rPr>
        <w:t xml:space="preserve"> CRs throughout the post</w:t>
      </w:r>
      <w:r w:rsidR="004960F2">
        <w:rPr>
          <w:b w:val="0"/>
        </w:rPr>
        <w:noBreakHyphen/>
      </w:r>
      <w:r>
        <w:rPr>
          <w:b w:val="0"/>
        </w:rPr>
        <w:t xml:space="preserve">Uri period to attempt to collect as much of the outstanding debt as possible.  In several cases, </w:t>
      </w:r>
      <w:r w:rsidR="00EE3053">
        <w:rPr>
          <w:b w:val="0"/>
        </w:rPr>
        <w:t xml:space="preserve">the </w:t>
      </w:r>
      <w:r>
        <w:rPr>
          <w:b w:val="0"/>
        </w:rPr>
        <w:t>CRs declared bankruptcy, and the Company participated in the bankruptcy proceedings.  Through these efforts, the Company was able to recover $</w:t>
      </w:r>
      <w:r w:rsidR="00A473C7">
        <w:rPr>
          <w:b w:val="0"/>
        </w:rPr>
        <w:t>4.6 million</w:t>
      </w:r>
      <w:r>
        <w:rPr>
          <w:b w:val="0"/>
        </w:rPr>
        <w:t xml:space="preserve"> of the original defaulted amounts.  </w:t>
      </w:r>
    </w:p>
    <w:p w14:paraId="2B256C37" w14:textId="77777777" w:rsidR="006E35AE" w:rsidRPr="006E35AE" w:rsidRDefault="006E35AE" w:rsidP="006E35AE">
      <w:pPr>
        <w:widowControl w:val="0"/>
        <w:tabs>
          <w:tab w:val="left" w:pos="720"/>
        </w:tabs>
        <w:spacing w:line="480" w:lineRule="auto"/>
        <w:ind w:left="720" w:hanging="720"/>
        <w:jc w:val="both"/>
        <w:rPr>
          <w:rFonts w:ascii="Times New Roman Bold" w:eastAsia="Calibri" w:hAnsi="Times New Roman Bold"/>
          <w:b/>
          <w:caps/>
          <w:sz w:val="24"/>
          <w:szCs w:val="24"/>
        </w:rPr>
      </w:pPr>
      <w:r w:rsidRPr="006E35AE">
        <w:rPr>
          <w:rFonts w:ascii="Times New Roman Bold" w:eastAsia="Calibri" w:hAnsi="Times New Roman Bold"/>
          <w:b/>
          <w:caps/>
          <w:sz w:val="24"/>
          <w:szCs w:val="24"/>
        </w:rPr>
        <w:t>Q.</w:t>
      </w:r>
      <w:r w:rsidRPr="006E35AE">
        <w:rPr>
          <w:rFonts w:ascii="Times New Roman Bold" w:eastAsia="Calibri" w:hAnsi="Times New Roman Bold"/>
          <w:b/>
          <w:caps/>
          <w:sz w:val="24"/>
          <w:szCs w:val="24"/>
        </w:rPr>
        <w:tab/>
        <w:t>HOW MANy CRS FILED FOR BANKRUPTCY AFTER WINTER STORM URI?</w:t>
      </w:r>
    </w:p>
    <w:p w14:paraId="55B53E64" w14:textId="0A1D031C" w:rsidR="006E35AE" w:rsidRPr="006E35AE" w:rsidRDefault="006E35AE" w:rsidP="006E35AE">
      <w:pPr>
        <w:widowControl w:val="0"/>
        <w:tabs>
          <w:tab w:val="left" w:pos="720"/>
        </w:tabs>
        <w:spacing w:line="480" w:lineRule="auto"/>
        <w:ind w:left="720" w:hanging="720"/>
        <w:jc w:val="both"/>
        <w:rPr>
          <w:rFonts w:eastAsia="Calibri"/>
          <w:snapToGrid w:val="0"/>
          <w:sz w:val="24"/>
          <w:szCs w:val="24"/>
        </w:rPr>
      </w:pPr>
      <w:r w:rsidRPr="006E35AE">
        <w:rPr>
          <w:rFonts w:eastAsia="Calibri"/>
          <w:sz w:val="24"/>
          <w:szCs w:val="24"/>
        </w:rPr>
        <w:t>A.</w:t>
      </w:r>
      <w:r>
        <w:rPr>
          <w:rFonts w:eastAsia="Calibri"/>
        </w:rPr>
        <w:tab/>
      </w:r>
      <w:r w:rsidRPr="1E8A8C27">
        <w:rPr>
          <w:rFonts w:eastAsia="Calibri"/>
          <w:sz w:val="24"/>
          <w:szCs w:val="24"/>
        </w:rPr>
        <w:t>After Winter Storm Uri, seven (7) CRs filed for bankruptcy: Brilliant Energy</w:t>
      </w:r>
      <w:r w:rsidR="00EE3053">
        <w:rPr>
          <w:rFonts w:eastAsia="Calibri"/>
          <w:sz w:val="24"/>
          <w:szCs w:val="24"/>
        </w:rPr>
        <w:t>;</w:t>
      </w:r>
      <w:r w:rsidRPr="1E8A8C27">
        <w:rPr>
          <w:rFonts w:eastAsia="Calibri"/>
          <w:sz w:val="24"/>
          <w:szCs w:val="24"/>
        </w:rPr>
        <w:t xml:space="preserve"> </w:t>
      </w:r>
      <w:r w:rsidRPr="1E8A8C27">
        <w:rPr>
          <w:rFonts w:eastAsia="Calibri"/>
          <w:sz w:val="24"/>
          <w:szCs w:val="24"/>
        </w:rPr>
        <w:lastRenderedPageBreak/>
        <w:t>Entrust Energy</w:t>
      </w:r>
      <w:r w:rsidR="00EE3053">
        <w:rPr>
          <w:rFonts w:eastAsia="Calibri"/>
          <w:sz w:val="24"/>
          <w:szCs w:val="24"/>
        </w:rPr>
        <w:t>;</w:t>
      </w:r>
      <w:r w:rsidRPr="1E8A8C27">
        <w:rPr>
          <w:rFonts w:eastAsia="Calibri"/>
          <w:sz w:val="24"/>
          <w:szCs w:val="24"/>
        </w:rPr>
        <w:t xml:space="preserve"> Griddy Energy</w:t>
      </w:r>
      <w:r w:rsidR="00EE3053">
        <w:rPr>
          <w:rFonts w:eastAsia="Calibri"/>
          <w:sz w:val="24"/>
          <w:szCs w:val="24"/>
        </w:rPr>
        <w:t>;</w:t>
      </w:r>
      <w:r w:rsidRPr="1E8A8C27">
        <w:rPr>
          <w:rFonts w:eastAsia="Calibri"/>
          <w:sz w:val="24"/>
          <w:szCs w:val="24"/>
        </w:rPr>
        <w:t xml:space="preserve"> Just Energy</w:t>
      </w:r>
      <w:r w:rsidR="00EE3053">
        <w:rPr>
          <w:rFonts w:eastAsia="Calibri"/>
          <w:sz w:val="24"/>
          <w:szCs w:val="24"/>
        </w:rPr>
        <w:t>;</w:t>
      </w:r>
      <w:r w:rsidRPr="1E8A8C27">
        <w:rPr>
          <w:rFonts w:eastAsia="Calibri"/>
          <w:sz w:val="24"/>
          <w:szCs w:val="24"/>
        </w:rPr>
        <w:t xml:space="preserve"> Liberty Power</w:t>
      </w:r>
      <w:r w:rsidR="00EE3053">
        <w:rPr>
          <w:rFonts w:eastAsia="Calibri"/>
          <w:sz w:val="24"/>
          <w:szCs w:val="24"/>
        </w:rPr>
        <w:t>;</w:t>
      </w:r>
      <w:r w:rsidRPr="1E8A8C27">
        <w:rPr>
          <w:rFonts w:eastAsia="Calibri"/>
          <w:sz w:val="24"/>
          <w:szCs w:val="24"/>
        </w:rPr>
        <w:t xml:space="preserve"> Power of Texas</w:t>
      </w:r>
      <w:r w:rsidR="00EE3053">
        <w:rPr>
          <w:rFonts w:eastAsia="Calibri"/>
          <w:sz w:val="24"/>
          <w:szCs w:val="24"/>
        </w:rPr>
        <w:t>;</w:t>
      </w:r>
      <w:r w:rsidRPr="1E8A8C27">
        <w:rPr>
          <w:rFonts w:eastAsia="Calibri"/>
          <w:sz w:val="24"/>
          <w:szCs w:val="24"/>
        </w:rPr>
        <w:t xml:space="preserve"> and POGO Energy (collectively, the “Bankrupt CRs”).</w:t>
      </w:r>
    </w:p>
    <w:p w14:paraId="252755F3" w14:textId="77777777" w:rsidR="006E35AE" w:rsidRPr="006E35AE" w:rsidRDefault="006E35AE" w:rsidP="006E35AE">
      <w:pPr>
        <w:widowControl w:val="0"/>
        <w:tabs>
          <w:tab w:val="left" w:pos="720"/>
        </w:tabs>
        <w:spacing w:line="480" w:lineRule="auto"/>
        <w:ind w:left="720" w:hanging="720"/>
        <w:jc w:val="both"/>
        <w:rPr>
          <w:rFonts w:ascii="Times New Roman Bold" w:eastAsia="Calibri" w:hAnsi="Times New Roman Bold"/>
          <w:b/>
          <w:caps/>
          <w:sz w:val="24"/>
          <w:szCs w:val="24"/>
        </w:rPr>
      </w:pPr>
      <w:r w:rsidRPr="006E35AE">
        <w:rPr>
          <w:rFonts w:ascii="Times New Roman Bold" w:eastAsia="Calibri" w:hAnsi="Times New Roman Bold"/>
          <w:b/>
          <w:caps/>
          <w:sz w:val="24"/>
          <w:szCs w:val="24"/>
        </w:rPr>
        <w:t>Q.</w:t>
      </w:r>
      <w:r w:rsidRPr="006E35AE">
        <w:rPr>
          <w:rFonts w:ascii="Times New Roman Bold" w:eastAsia="Calibri" w:hAnsi="Times New Roman Bold"/>
          <w:b/>
          <w:caps/>
          <w:sz w:val="24"/>
          <w:szCs w:val="24"/>
        </w:rPr>
        <w:tab/>
        <w:t>WAS THE COMPANY INVOLVED IN THE BANKRUPT CRS’ RESPECTIVE BANKRUPTCY CASES?</w:t>
      </w:r>
    </w:p>
    <w:p w14:paraId="71191A06" w14:textId="673F25E9" w:rsidR="006E35AE" w:rsidRPr="006E35AE" w:rsidRDefault="006E35AE" w:rsidP="006E35AE">
      <w:pPr>
        <w:widowControl w:val="0"/>
        <w:tabs>
          <w:tab w:val="left" w:pos="720"/>
        </w:tabs>
        <w:spacing w:line="480" w:lineRule="auto"/>
        <w:ind w:left="720" w:hanging="720"/>
        <w:jc w:val="both"/>
        <w:rPr>
          <w:rFonts w:eastAsia="Calibri"/>
          <w:snapToGrid w:val="0"/>
          <w:sz w:val="24"/>
          <w:szCs w:val="24"/>
        </w:rPr>
      </w:pPr>
      <w:r w:rsidRPr="006E35AE">
        <w:rPr>
          <w:rFonts w:eastAsia="Calibri"/>
          <w:sz w:val="24"/>
          <w:szCs w:val="24"/>
        </w:rPr>
        <w:t>A.</w:t>
      </w:r>
      <w:r w:rsidRPr="006E35AE">
        <w:rPr>
          <w:rFonts w:eastAsia="Calibri"/>
          <w:b/>
          <w:sz w:val="24"/>
          <w:szCs w:val="24"/>
        </w:rPr>
        <w:tab/>
      </w:r>
      <w:r w:rsidRPr="006E35AE">
        <w:rPr>
          <w:rFonts w:eastAsia="Calibri"/>
          <w:snapToGrid w:val="0"/>
          <w:sz w:val="24"/>
          <w:szCs w:val="24"/>
        </w:rPr>
        <w:t xml:space="preserve">Yes.  </w:t>
      </w:r>
    </w:p>
    <w:p w14:paraId="6B0854B5" w14:textId="7603A0A4" w:rsidR="006E35AE" w:rsidRPr="00183989" w:rsidRDefault="006E35AE" w:rsidP="006E35AE">
      <w:pPr>
        <w:widowControl w:val="0"/>
        <w:tabs>
          <w:tab w:val="left" w:pos="720"/>
        </w:tabs>
        <w:spacing w:line="480" w:lineRule="auto"/>
        <w:ind w:left="720" w:hanging="720"/>
        <w:jc w:val="both"/>
        <w:rPr>
          <w:rFonts w:ascii="Times New Roman Bold" w:eastAsia="Calibri" w:hAnsi="Times New Roman Bold"/>
          <w:b/>
          <w:caps/>
          <w:sz w:val="24"/>
          <w:szCs w:val="24"/>
        </w:rPr>
      </w:pPr>
      <w:r w:rsidRPr="00183989">
        <w:rPr>
          <w:rFonts w:ascii="Times New Roman Bold" w:eastAsia="Calibri" w:hAnsi="Times New Roman Bold"/>
          <w:b/>
          <w:caps/>
          <w:sz w:val="24"/>
          <w:szCs w:val="24"/>
        </w:rPr>
        <w:t>Q.</w:t>
      </w:r>
      <w:r w:rsidRPr="00183989">
        <w:rPr>
          <w:rFonts w:ascii="Times New Roman Bold" w:eastAsia="Calibri" w:hAnsi="Times New Roman Bold"/>
          <w:b/>
          <w:caps/>
          <w:sz w:val="24"/>
          <w:szCs w:val="24"/>
        </w:rPr>
        <w:tab/>
        <w:t>WHY DID THE COMPANY GET INVOLVED IN THE BANKRUPT CRS’ BANKRUPTCY CASES?</w:t>
      </w:r>
    </w:p>
    <w:p w14:paraId="39A69FC3" w14:textId="1A6274E3" w:rsidR="006E35AE" w:rsidRPr="006E35AE" w:rsidRDefault="006E35AE" w:rsidP="006E35AE">
      <w:pPr>
        <w:widowControl w:val="0"/>
        <w:tabs>
          <w:tab w:val="left" w:pos="720"/>
        </w:tabs>
        <w:spacing w:line="480" w:lineRule="auto"/>
        <w:ind w:left="720" w:hanging="720"/>
        <w:jc w:val="both"/>
        <w:rPr>
          <w:rFonts w:ascii="Times New Roman Bold" w:eastAsia="Calibri" w:hAnsi="Times New Roman Bold"/>
          <w:b/>
          <w:caps/>
          <w:sz w:val="24"/>
          <w:szCs w:val="24"/>
        </w:rPr>
      </w:pPr>
      <w:r w:rsidRPr="00183989">
        <w:rPr>
          <w:rFonts w:eastAsia="Calibri"/>
          <w:sz w:val="24"/>
          <w:szCs w:val="24"/>
        </w:rPr>
        <w:t>A.</w:t>
      </w:r>
      <w:r w:rsidRPr="00183989">
        <w:rPr>
          <w:rFonts w:eastAsia="Calibri"/>
          <w:b/>
          <w:sz w:val="24"/>
          <w:szCs w:val="24"/>
        </w:rPr>
        <w:tab/>
      </w:r>
      <w:r w:rsidRPr="00183989">
        <w:rPr>
          <w:rFonts w:eastAsia="Calibri"/>
          <w:snapToGrid w:val="0"/>
          <w:sz w:val="24"/>
          <w:szCs w:val="24"/>
        </w:rPr>
        <w:t xml:space="preserve">The Company </w:t>
      </w:r>
      <w:r w:rsidR="009E18EF">
        <w:rPr>
          <w:rFonts w:eastAsia="Calibri"/>
          <w:snapToGrid w:val="0"/>
          <w:sz w:val="24"/>
          <w:szCs w:val="24"/>
        </w:rPr>
        <w:t>participated in the</w:t>
      </w:r>
      <w:r w:rsidRPr="00183989">
        <w:rPr>
          <w:rFonts w:eastAsia="Calibri"/>
          <w:snapToGrid w:val="0"/>
          <w:sz w:val="24"/>
          <w:szCs w:val="24"/>
        </w:rPr>
        <w:t xml:space="preserve"> bankruptcy cases to monitor </w:t>
      </w:r>
      <w:r w:rsidR="009E18EF">
        <w:rPr>
          <w:rFonts w:eastAsia="Calibri"/>
          <w:snapToGrid w:val="0"/>
          <w:sz w:val="24"/>
          <w:szCs w:val="24"/>
        </w:rPr>
        <w:t>and</w:t>
      </w:r>
      <w:r w:rsidRPr="00183989">
        <w:rPr>
          <w:rFonts w:eastAsia="Calibri"/>
          <w:snapToGrid w:val="0"/>
          <w:sz w:val="24"/>
          <w:szCs w:val="24"/>
        </w:rPr>
        <w:t xml:space="preserve"> protect the Company’s interests, and </w:t>
      </w:r>
      <w:r w:rsidR="009E18EF">
        <w:rPr>
          <w:rFonts w:eastAsia="Calibri"/>
          <w:snapToGrid w:val="0"/>
          <w:sz w:val="24"/>
          <w:szCs w:val="24"/>
        </w:rPr>
        <w:t xml:space="preserve">to </w:t>
      </w:r>
      <w:r w:rsidRPr="00183989">
        <w:rPr>
          <w:rFonts w:eastAsia="Calibri"/>
          <w:snapToGrid w:val="0"/>
          <w:sz w:val="24"/>
          <w:szCs w:val="24"/>
        </w:rPr>
        <w:t xml:space="preserve">seek terms on the payment of invoices for delivery service that occurred </w:t>
      </w:r>
      <w:r w:rsidR="009E18EF">
        <w:rPr>
          <w:rFonts w:eastAsia="Calibri"/>
          <w:snapToGrid w:val="0"/>
          <w:sz w:val="24"/>
          <w:szCs w:val="24"/>
        </w:rPr>
        <w:t>following the filing of bankruptcy petitions by the Bankrupt CRs</w:t>
      </w:r>
      <w:r w:rsidRPr="00183989">
        <w:rPr>
          <w:rFonts w:eastAsia="Calibri"/>
          <w:snapToGrid w:val="0"/>
          <w:sz w:val="24"/>
          <w:szCs w:val="24"/>
        </w:rPr>
        <w:t>.</w:t>
      </w:r>
      <w:r w:rsidRPr="006E35AE">
        <w:rPr>
          <w:rFonts w:eastAsia="Calibri"/>
          <w:snapToGrid w:val="0"/>
          <w:sz w:val="24"/>
          <w:szCs w:val="24"/>
        </w:rPr>
        <w:t xml:space="preserve">    </w:t>
      </w:r>
    </w:p>
    <w:p w14:paraId="484BC6FE" w14:textId="10F1FE57" w:rsidR="006E35AE" w:rsidRPr="006E35AE" w:rsidRDefault="006E35AE" w:rsidP="006E35AE">
      <w:pPr>
        <w:widowControl w:val="0"/>
        <w:tabs>
          <w:tab w:val="left" w:pos="720"/>
        </w:tabs>
        <w:spacing w:line="480" w:lineRule="auto"/>
        <w:ind w:left="720" w:hanging="720"/>
        <w:jc w:val="both"/>
        <w:rPr>
          <w:rFonts w:ascii="Times New Roman Bold" w:eastAsia="Calibri" w:hAnsi="Times New Roman Bold"/>
          <w:b/>
          <w:caps/>
          <w:sz w:val="24"/>
          <w:szCs w:val="24"/>
        </w:rPr>
      </w:pPr>
      <w:r w:rsidRPr="006E35AE">
        <w:rPr>
          <w:rFonts w:ascii="Times New Roman Bold" w:eastAsia="Calibri" w:hAnsi="Times New Roman Bold"/>
          <w:b/>
          <w:caps/>
          <w:sz w:val="24"/>
          <w:szCs w:val="24"/>
        </w:rPr>
        <w:t>Q.</w:t>
      </w:r>
      <w:r w:rsidRPr="006E35AE">
        <w:rPr>
          <w:rFonts w:ascii="Times New Roman Bold" w:eastAsia="Calibri" w:hAnsi="Times New Roman Bold"/>
          <w:b/>
          <w:caps/>
          <w:sz w:val="24"/>
          <w:szCs w:val="24"/>
        </w:rPr>
        <w:tab/>
        <w:t>WHAT WAS THE NATURE AND ExTENT oF THE COMPANY’s INVOLVEMENT in the crs’ bankruptcy cases?</w:t>
      </w:r>
    </w:p>
    <w:p w14:paraId="1E1DDF3C" w14:textId="07D11149" w:rsidR="006E35AE" w:rsidRPr="006E35AE" w:rsidRDefault="006E35AE" w:rsidP="006E35AE">
      <w:pPr>
        <w:widowControl w:val="0"/>
        <w:tabs>
          <w:tab w:val="left" w:pos="720"/>
        </w:tabs>
        <w:spacing w:line="480" w:lineRule="auto"/>
        <w:ind w:left="720" w:hanging="720"/>
        <w:jc w:val="both"/>
        <w:rPr>
          <w:rFonts w:eastAsia="Calibri"/>
          <w:snapToGrid w:val="0"/>
          <w:sz w:val="24"/>
          <w:szCs w:val="24"/>
        </w:rPr>
      </w:pPr>
      <w:r w:rsidRPr="006E35AE">
        <w:rPr>
          <w:rFonts w:eastAsia="Calibri"/>
          <w:sz w:val="24"/>
          <w:szCs w:val="24"/>
        </w:rPr>
        <w:t>A.</w:t>
      </w:r>
      <w:r>
        <w:rPr>
          <w:rFonts w:eastAsia="Calibri"/>
        </w:rPr>
        <w:tab/>
      </w:r>
      <w:r w:rsidRPr="1E8A8C27">
        <w:rPr>
          <w:rFonts w:eastAsia="Calibri"/>
          <w:sz w:val="24"/>
          <w:szCs w:val="24"/>
        </w:rPr>
        <w:t xml:space="preserve">The Company’s involvement in the Bankrupt CRs’ respective bankruptcy cases was two-fold.  First, the Company filed proofs of claim in each Bankrupt CR’s bankruptcy case.  The proofs of claim filed by the Company </w:t>
      </w:r>
      <w:r w:rsidR="009E18EF">
        <w:rPr>
          <w:rFonts w:eastAsia="Calibri"/>
          <w:sz w:val="24"/>
          <w:szCs w:val="24"/>
        </w:rPr>
        <w:t>identified</w:t>
      </w:r>
      <w:r w:rsidR="009E18EF" w:rsidRPr="1E8A8C27">
        <w:rPr>
          <w:rFonts w:eastAsia="Calibri"/>
          <w:sz w:val="24"/>
          <w:szCs w:val="24"/>
        </w:rPr>
        <w:t xml:space="preserve"> </w:t>
      </w:r>
      <w:r w:rsidRPr="1E8A8C27">
        <w:rPr>
          <w:rFonts w:eastAsia="Calibri"/>
          <w:sz w:val="24"/>
          <w:szCs w:val="24"/>
        </w:rPr>
        <w:t xml:space="preserve">amounts owed by each Bankrupt CR </w:t>
      </w:r>
      <w:r w:rsidR="009E18EF">
        <w:rPr>
          <w:rFonts w:eastAsia="Calibri"/>
          <w:sz w:val="24"/>
          <w:szCs w:val="24"/>
        </w:rPr>
        <w:t xml:space="preserve">to CenterPoint Houston </w:t>
      </w:r>
      <w:r w:rsidRPr="1E8A8C27">
        <w:rPr>
          <w:rFonts w:eastAsia="Calibri"/>
          <w:sz w:val="24"/>
          <w:szCs w:val="24"/>
        </w:rPr>
        <w:t xml:space="preserve">as of the bankruptcy filing date </w:t>
      </w:r>
      <w:r w:rsidR="009E18EF">
        <w:rPr>
          <w:rFonts w:eastAsia="Calibri"/>
          <w:sz w:val="24"/>
          <w:szCs w:val="24"/>
        </w:rPr>
        <w:t xml:space="preserve">of each Bankrupt CR, </w:t>
      </w:r>
      <w:r w:rsidRPr="1E8A8C27">
        <w:rPr>
          <w:rFonts w:eastAsia="Calibri"/>
          <w:sz w:val="24"/>
          <w:szCs w:val="24"/>
        </w:rPr>
        <w:t>and provided documentation</w:t>
      </w:r>
      <w:r w:rsidR="009E18EF">
        <w:rPr>
          <w:rFonts w:eastAsia="Calibri"/>
          <w:sz w:val="24"/>
          <w:szCs w:val="24"/>
        </w:rPr>
        <w:t xml:space="preserve"> in support of Company’s interest</w:t>
      </w:r>
      <w:r w:rsidR="55031708" w:rsidRPr="1E8A8C27">
        <w:rPr>
          <w:rFonts w:eastAsia="Calibri"/>
          <w:sz w:val="24"/>
          <w:szCs w:val="24"/>
        </w:rPr>
        <w:t>.  Table</w:t>
      </w:r>
      <w:r w:rsidR="16ECDDA2" w:rsidRPr="1E8A8C27">
        <w:rPr>
          <w:rFonts w:eastAsia="Calibri"/>
          <w:sz w:val="24"/>
          <w:szCs w:val="24"/>
        </w:rPr>
        <w:t xml:space="preserve"> 1</w:t>
      </w:r>
      <w:r w:rsidRPr="1E8A8C27">
        <w:rPr>
          <w:rFonts w:eastAsia="Calibri"/>
          <w:sz w:val="24"/>
          <w:szCs w:val="24"/>
        </w:rPr>
        <w:t xml:space="preserve"> below summarizes the proofs of claim filed by the Company in the Bankrupt CRs’ respective bankruptcy cases:</w:t>
      </w:r>
    </w:p>
    <w:p w14:paraId="2DF3F768" w14:textId="6DAE80EC" w:rsidR="35C57EA2" w:rsidRDefault="35C57EA2" w:rsidP="005E36BB">
      <w:pPr>
        <w:keepNext/>
        <w:keepLines/>
        <w:widowControl w:val="0"/>
        <w:tabs>
          <w:tab w:val="left" w:pos="720"/>
        </w:tabs>
        <w:spacing w:line="480" w:lineRule="auto"/>
        <w:ind w:left="720" w:hanging="720"/>
        <w:jc w:val="center"/>
        <w:rPr>
          <w:rFonts w:eastAsia="Calibri"/>
          <w:sz w:val="24"/>
          <w:szCs w:val="24"/>
        </w:rPr>
      </w:pPr>
      <w:r w:rsidRPr="1E8A8C27">
        <w:rPr>
          <w:rFonts w:eastAsia="Calibri"/>
          <w:b/>
          <w:bCs/>
          <w:sz w:val="24"/>
          <w:szCs w:val="24"/>
        </w:rPr>
        <w:lastRenderedPageBreak/>
        <w:t>Table 1</w:t>
      </w:r>
    </w:p>
    <w:tbl>
      <w:tblPr>
        <w:tblW w:w="6385" w:type="dxa"/>
        <w:tblInd w:w="1890" w:type="dxa"/>
        <w:tblLook w:val="04A0" w:firstRow="1" w:lastRow="0" w:firstColumn="1" w:lastColumn="0" w:noHBand="0" w:noVBand="1"/>
      </w:tblPr>
      <w:tblGrid>
        <w:gridCol w:w="1980"/>
        <w:gridCol w:w="2335"/>
        <w:gridCol w:w="2070"/>
      </w:tblGrid>
      <w:tr w:rsidR="006C61D9" w:rsidRPr="00C87194" w14:paraId="182BBCEE" w14:textId="77777777" w:rsidTr="007F177C">
        <w:trPr>
          <w:trHeight w:val="324"/>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91165" w14:textId="77777777" w:rsidR="006C61D9" w:rsidRPr="006C61D9" w:rsidRDefault="006C61D9" w:rsidP="005E36BB">
            <w:pPr>
              <w:keepNext/>
              <w:keepLines/>
              <w:jc w:val="center"/>
              <w:rPr>
                <w:b/>
                <w:bCs/>
                <w:color w:val="000000"/>
                <w:sz w:val="24"/>
                <w:szCs w:val="24"/>
              </w:rPr>
            </w:pPr>
            <w:r w:rsidRPr="006C61D9">
              <w:rPr>
                <w:rFonts w:eastAsia="Calibri"/>
                <w:b/>
                <w:bCs/>
                <w:snapToGrid w:val="0"/>
                <w:color w:val="000000"/>
                <w:sz w:val="24"/>
                <w:szCs w:val="24"/>
              </w:rPr>
              <w:t>Bankrupt CR</w:t>
            </w: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D18E5" w14:textId="77777777" w:rsidR="006C61D9" w:rsidRPr="006C61D9" w:rsidRDefault="006C61D9" w:rsidP="005E36BB">
            <w:pPr>
              <w:keepNext/>
              <w:keepLines/>
              <w:jc w:val="center"/>
              <w:rPr>
                <w:b/>
                <w:bCs/>
                <w:color w:val="000000"/>
                <w:sz w:val="24"/>
                <w:szCs w:val="24"/>
              </w:rPr>
            </w:pPr>
            <w:r w:rsidRPr="006C61D9">
              <w:rPr>
                <w:rFonts w:eastAsia="Calibri"/>
                <w:b/>
                <w:bCs/>
                <w:snapToGrid w:val="0"/>
                <w:color w:val="000000"/>
                <w:sz w:val="24"/>
                <w:szCs w:val="24"/>
              </w:rPr>
              <w:t>Category</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0F4CA" w14:textId="77777777" w:rsidR="006C61D9" w:rsidRPr="006C61D9" w:rsidRDefault="006C61D9" w:rsidP="005E36BB">
            <w:pPr>
              <w:keepNext/>
              <w:keepLines/>
              <w:jc w:val="center"/>
              <w:rPr>
                <w:b/>
                <w:bCs/>
                <w:color w:val="000000"/>
                <w:sz w:val="24"/>
                <w:szCs w:val="24"/>
              </w:rPr>
            </w:pPr>
            <w:r w:rsidRPr="006C61D9">
              <w:rPr>
                <w:rFonts w:eastAsia="Calibri"/>
                <w:b/>
                <w:bCs/>
                <w:snapToGrid w:val="0"/>
                <w:color w:val="000000"/>
                <w:sz w:val="24"/>
                <w:szCs w:val="24"/>
              </w:rPr>
              <w:t>Amount</w:t>
            </w:r>
          </w:p>
        </w:tc>
      </w:tr>
      <w:tr w:rsidR="006C61D9" w:rsidRPr="00C87194" w14:paraId="2673F43D" w14:textId="77777777" w:rsidTr="007F177C">
        <w:trPr>
          <w:trHeight w:val="312"/>
        </w:trPr>
        <w:tc>
          <w:tcPr>
            <w:tcW w:w="1980" w:type="dxa"/>
            <w:tcBorders>
              <w:top w:val="single" w:sz="4" w:space="0" w:color="auto"/>
              <w:left w:val="single" w:sz="4" w:space="0" w:color="auto"/>
              <w:bottom w:val="nil"/>
              <w:right w:val="single" w:sz="4" w:space="0" w:color="auto"/>
            </w:tcBorders>
            <w:shd w:val="clear" w:color="auto" w:fill="auto"/>
            <w:vAlign w:val="center"/>
            <w:hideMark/>
          </w:tcPr>
          <w:p w14:paraId="60FBBE3E" w14:textId="77777777" w:rsidR="006C61D9" w:rsidRPr="006C61D9" w:rsidRDefault="006C61D9" w:rsidP="005E36BB">
            <w:pPr>
              <w:keepNext/>
              <w:keepLines/>
              <w:rPr>
                <w:color w:val="000000"/>
                <w:sz w:val="24"/>
                <w:szCs w:val="24"/>
              </w:rPr>
            </w:pPr>
            <w:r w:rsidRPr="006C61D9">
              <w:rPr>
                <w:rFonts w:eastAsia="Calibri"/>
                <w:snapToGrid w:val="0"/>
                <w:color w:val="000000"/>
                <w:sz w:val="24"/>
                <w:szCs w:val="24"/>
              </w:rPr>
              <w:t>Brilliant Energy</w:t>
            </w:r>
          </w:p>
        </w:tc>
        <w:tc>
          <w:tcPr>
            <w:tcW w:w="2335" w:type="dxa"/>
            <w:tcBorders>
              <w:top w:val="single" w:sz="4" w:space="0" w:color="auto"/>
              <w:left w:val="single" w:sz="4" w:space="0" w:color="auto"/>
              <w:bottom w:val="nil"/>
              <w:right w:val="single" w:sz="4" w:space="0" w:color="auto"/>
            </w:tcBorders>
            <w:shd w:val="clear" w:color="auto" w:fill="auto"/>
            <w:vAlign w:val="center"/>
            <w:hideMark/>
          </w:tcPr>
          <w:p w14:paraId="34BE2AD0" w14:textId="77777777" w:rsidR="006C61D9" w:rsidRPr="006C61D9" w:rsidRDefault="006C61D9" w:rsidP="005E36BB">
            <w:pPr>
              <w:keepNext/>
              <w:keepLines/>
              <w:rPr>
                <w:color w:val="000000"/>
                <w:sz w:val="24"/>
                <w:szCs w:val="24"/>
              </w:rPr>
            </w:pPr>
            <w:r w:rsidRPr="006C61D9">
              <w:rPr>
                <w:rFonts w:eastAsia="Calibri"/>
                <w:snapToGrid w:val="0"/>
                <w:color w:val="000000"/>
                <w:sz w:val="24"/>
                <w:szCs w:val="24"/>
              </w:rPr>
              <w:t>Delivery charges</w:t>
            </w:r>
          </w:p>
        </w:tc>
        <w:tc>
          <w:tcPr>
            <w:tcW w:w="2070" w:type="dxa"/>
            <w:tcBorders>
              <w:top w:val="single" w:sz="4" w:space="0" w:color="auto"/>
              <w:left w:val="single" w:sz="4" w:space="0" w:color="auto"/>
              <w:bottom w:val="nil"/>
              <w:right w:val="single" w:sz="4" w:space="0" w:color="auto"/>
            </w:tcBorders>
            <w:shd w:val="clear" w:color="auto" w:fill="auto"/>
            <w:vAlign w:val="center"/>
            <w:hideMark/>
          </w:tcPr>
          <w:p w14:paraId="7E7D42AD" w14:textId="77777777" w:rsidR="006C61D9" w:rsidRPr="006C61D9" w:rsidRDefault="006C61D9" w:rsidP="005E36BB">
            <w:pPr>
              <w:keepNext/>
              <w:keepLines/>
              <w:jc w:val="right"/>
              <w:rPr>
                <w:color w:val="000000"/>
                <w:sz w:val="24"/>
                <w:szCs w:val="24"/>
              </w:rPr>
            </w:pPr>
            <w:r w:rsidRPr="006C61D9">
              <w:rPr>
                <w:rFonts w:eastAsia="Calibri"/>
                <w:snapToGrid w:val="0"/>
                <w:color w:val="000000"/>
                <w:sz w:val="24"/>
                <w:szCs w:val="24"/>
              </w:rPr>
              <w:t xml:space="preserve">$2,334,168.47 </w:t>
            </w:r>
          </w:p>
        </w:tc>
      </w:tr>
      <w:tr w:rsidR="006C61D9" w:rsidRPr="00C87194" w14:paraId="5954B4F1" w14:textId="77777777" w:rsidTr="007F177C">
        <w:trPr>
          <w:trHeight w:val="312"/>
        </w:trPr>
        <w:tc>
          <w:tcPr>
            <w:tcW w:w="1980" w:type="dxa"/>
            <w:tcBorders>
              <w:top w:val="single" w:sz="4" w:space="0" w:color="auto"/>
              <w:left w:val="single" w:sz="4" w:space="0" w:color="auto"/>
              <w:bottom w:val="nil"/>
              <w:right w:val="single" w:sz="4" w:space="0" w:color="auto"/>
            </w:tcBorders>
            <w:shd w:val="clear" w:color="auto" w:fill="auto"/>
            <w:vAlign w:val="center"/>
            <w:hideMark/>
          </w:tcPr>
          <w:p w14:paraId="391B3EF1" w14:textId="77777777" w:rsidR="006C61D9" w:rsidRPr="006C61D9" w:rsidRDefault="006C61D9" w:rsidP="005E36BB">
            <w:pPr>
              <w:keepNext/>
              <w:keepLines/>
              <w:rPr>
                <w:color w:val="000000"/>
                <w:sz w:val="24"/>
                <w:szCs w:val="24"/>
              </w:rPr>
            </w:pPr>
            <w:r w:rsidRPr="006C61D9">
              <w:rPr>
                <w:rFonts w:eastAsia="Calibri"/>
                <w:snapToGrid w:val="0"/>
                <w:color w:val="000000"/>
                <w:sz w:val="24"/>
                <w:szCs w:val="24"/>
              </w:rPr>
              <w:t>Entrust Energy</w:t>
            </w:r>
          </w:p>
        </w:tc>
        <w:tc>
          <w:tcPr>
            <w:tcW w:w="2335" w:type="dxa"/>
            <w:tcBorders>
              <w:top w:val="single" w:sz="4" w:space="0" w:color="auto"/>
              <w:left w:val="single" w:sz="4" w:space="0" w:color="auto"/>
              <w:bottom w:val="nil"/>
              <w:right w:val="single" w:sz="4" w:space="0" w:color="auto"/>
            </w:tcBorders>
            <w:shd w:val="clear" w:color="auto" w:fill="auto"/>
            <w:vAlign w:val="center"/>
            <w:hideMark/>
          </w:tcPr>
          <w:p w14:paraId="654A869B" w14:textId="77777777" w:rsidR="006C61D9" w:rsidRPr="006C61D9" w:rsidRDefault="006C61D9" w:rsidP="005E36BB">
            <w:pPr>
              <w:keepNext/>
              <w:keepLines/>
              <w:rPr>
                <w:color w:val="000000"/>
                <w:sz w:val="24"/>
                <w:szCs w:val="24"/>
              </w:rPr>
            </w:pPr>
            <w:r w:rsidRPr="006C61D9">
              <w:rPr>
                <w:rFonts w:eastAsia="Calibri"/>
                <w:snapToGrid w:val="0"/>
                <w:color w:val="000000"/>
                <w:sz w:val="24"/>
                <w:szCs w:val="24"/>
              </w:rPr>
              <w:t>Delivery charges</w:t>
            </w:r>
          </w:p>
        </w:tc>
        <w:tc>
          <w:tcPr>
            <w:tcW w:w="2070" w:type="dxa"/>
            <w:tcBorders>
              <w:top w:val="single" w:sz="4" w:space="0" w:color="auto"/>
              <w:left w:val="single" w:sz="4" w:space="0" w:color="auto"/>
              <w:bottom w:val="nil"/>
              <w:right w:val="single" w:sz="4" w:space="0" w:color="auto"/>
            </w:tcBorders>
            <w:shd w:val="clear" w:color="auto" w:fill="auto"/>
            <w:vAlign w:val="center"/>
            <w:hideMark/>
          </w:tcPr>
          <w:p w14:paraId="771AC717" w14:textId="77777777" w:rsidR="006C61D9" w:rsidRPr="006C61D9" w:rsidRDefault="006C61D9" w:rsidP="005E36BB">
            <w:pPr>
              <w:keepNext/>
              <w:keepLines/>
              <w:jc w:val="right"/>
              <w:rPr>
                <w:color w:val="000000"/>
                <w:sz w:val="24"/>
                <w:szCs w:val="24"/>
              </w:rPr>
            </w:pPr>
            <w:r w:rsidRPr="006C61D9">
              <w:rPr>
                <w:rFonts w:eastAsia="Calibri"/>
                <w:snapToGrid w:val="0"/>
                <w:color w:val="000000"/>
                <w:sz w:val="24"/>
                <w:szCs w:val="24"/>
              </w:rPr>
              <w:t xml:space="preserve">$4,306,124.05 </w:t>
            </w:r>
          </w:p>
        </w:tc>
      </w:tr>
      <w:tr w:rsidR="006C61D9" w:rsidRPr="00C87194" w14:paraId="62482859" w14:textId="77777777" w:rsidTr="007F177C">
        <w:trPr>
          <w:trHeight w:val="312"/>
        </w:trPr>
        <w:tc>
          <w:tcPr>
            <w:tcW w:w="1980" w:type="dxa"/>
            <w:vMerge w:val="restart"/>
            <w:tcBorders>
              <w:top w:val="single" w:sz="4" w:space="0" w:color="auto"/>
              <w:left w:val="single" w:sz="4" w:space="0" w:color="auto"/>
              <w:bottom w:val="nil"/>
              <w:right w:val="single" w:sz="4" w:space="0" w:color="auto"/>
            </w:tcBorders>
            <w:shd w:val="clear" w:color="auto" w:fill="auto"/>
            <w:vAlign w:val="center"/>
            <w:hideMark/>
          </w:tcPr>
          <w:p w14:paraId="6C466826" w14:textId="77777777" w:rsidR="006C61D9" w:rsidRPr="006C61D9" w:rsidRDefault="006C61D9" w:rsidP="005E36BB">
            <w:pPr>
              <w:keepNext/>
              <w:keepLines/>
              <w:rPr>
                <w:color w:val="000000"/>
                <w:sz w:val="24"/>
                <w:szCs w:val="24"/>
              </w:rPr>
            </w:pPr>
            <w:r w:rsidRPr="006C61D9">
              <w:rPr>
                <w:rFonts w:eastAsia="Calibri"/>
                <w:snapToGrid w:val="0"/>
                <w:color w:val="000000"/>
                <w:sz w:val="24"/>
                <w:szCs w:val="24"/>
              </w:rPr>
              <w:t>Griddy Energy</w:t>
            </w:r>
          </w:p>
        </w:tc>
        <w:tc>
          <w:tcPr>
            <w:tcW w:w="2335" w:type="dxa"/>
            <w:tcBorders>
              <w:top w:val="single" w:sz="4" w:space="0" w:color="auto"/>
              <w:left w:val="single" w:sz="4" w:space="0" w:color="auto"/>
              <w:bottom w:val="nil"/>
              <w:right w:val="single" w:sz="4" w:space="0" w:color="auto"/>
            </w:tcBorders>
            <w:shd w:val="clear" w:color="auto" w:fill="auto"/>
            <w:vAlign w:val="center"/>
            <w:hideMark/>
          </w:tcPr>
          <w:p w14:paraId="64166972" w14:textId="77777777" w:rsidR="006C61D9" w:rsidRPr="006C61D9" w:rsidRDefault="006C61D9" w:rsidP="005E36BB">
            <w:pPr>
              <w:keepNext/>
              <w:keepLines/>
              <w:rPr>
                <w:color w:val="000000"/>
                <w:sz w:val="24"/>
                <w:szCs w:val="24"/>
              </w:rPr>
            </w:pPr>
            <w:r w:rsidRPr="006C61D9">
              <w:rPr>
                <w:rFonts w:eastAsia="Calibri"/>
                <w:snapToGrid w:val="0"/>
                <w:color w:val="000000"/>
                <w:sz w:val="24"/>
                <w:szCs w:val="24"/>
              </w:rPr>
              <w:t>Delivery charges</w:t>
            </w:r>
          </w:p>
        </w:tc>
        <w:tc>
          <w:tcPr>
            <w:tcW w:w="2070" w:type="dxa"/>
            <w:tcBorders>
              <w:top w:val="single" w:sz="4" w:space="0" w:color="auto"/>
              <w:left w:val="single" w:sz="4" w:space="0" w:color="auto"/>
              <w:bottom w:val="nil"/>
              <w:right w:val="single" w:sz="4" w:space="0" w:color="auto"/>
            </w:tcBorders>
            <w:shd w:val="clear" w:color="auto" w:fill="auto"/>
            <w:vAlign w:val="center"/>
            <w:hideMark/>
          </w:tcPr>
          <w:p w14:paraId="4AD82D21" w14:textId="77777777" w:rsidR="006C61D9" w:rsidRPr="006C61D9" w:rsidRDefault="006C61D9" w:rsidP="005E36BB">
            <w:pPr>
              <w:keepNext/>
              <w:keepLines/>
              <w:jc w:val="right"/>
              <w:rPr>
                <w:color w:val="000000"/>
                <w:sz w:val="24"/>
                <w:szCs w:val="24"/>
              </w:rPr>
            </w:pPr>
            <w:r w:rsidRPr="006C61D9">
              <w:rPr>
                <w:rFonts w:eastAsia="Calibri"/>
                <w:snapToGrid w:val="0"/>
                <w:color w:val="000000"/>
                <w:sz w:val="24"/>
                <w:szCs w:val="24"/>
              </w:rPr>
              <w:t xml:space="preserve">$1,184,792.71 </w:t>
            </w:r>
          </w:p>
        </w:tc>
      </w:tr>
      <w:tr w:rsidR="006C61D9" w:rsidRPr="00C87194" w14:paraId="0013361F" w14:textId="77777777" w:rsidTr="007F177C">
        <w:trPr>
          <w:trHeight w:val="312"/>
        </w:trPr>
        <w:tc>
          <w:tcPr>
            <w:tcW w:w="1980" w:type="dxa"/>
            <w:vMerge/>
            <w:tcBorders>
              <w:left w:val="single" w:sz="4" w:space="0" w:color="auto"/>
              <w:right w:val="single" w:sz="4" w:space="0" w:color="auto"/>
            </w:tcBorders>
            <w:vAlign w:val="center"/>
            <w:hideMark/>
          </w:tcPr>
          <w:p w14:paraId="0540C49D" w14:textId="77777777" w:rsidR="006C61D9" w:rsidRPr="006C61D9" w:rsidRDefault="006C61D9">
            <w:pPr>
              <w:rPr>
                <w:color w:val="000000"/>
                <w:sz w:val="24"/>
                <w:szCs w:val="24"/>
              </w:rPr>
            </w:pPr>
          </w:p>
        </w:tc>
        <w:tc>
          <w:tcPr>
            <w:tcW w:w="2335" w:type="dxa"/>
            <w:tcBorders>
              <w:top w:val="nil"/>
              <w:left w:val="single" w:sz="4" w:space="0" w:color="auto"/>
              <w:bottom w:val="nil"/>
              <w:right w:val="single" w:sz="4" w:space="0" w:color="auto"/>
            </w:tcBorders>
            <w:shd w:val="clear" w:color="auto" w:fill="auto"/>
            <w:vAlign w:val="center"/>
            <w:hideMark/>
          </w:tcPr>
          <w:p w14:paraId="20C36C31" w14:textId="77777777" w:rsidR="006C61D9" w:rsidRPr="006C61D9" w:rsidRDefault="006C61D9">
            <w:pPr>
              <w:rPr>
                <w:color w:val="000000"/>
                <w:sz w:val="24"/>
                <w:szCs w:val="24"/>
              </w:rPr>
            </w:pPr>
            <w:r w:rsidRPr="006C61D9">
              <w:rPr>
                <w:rFonts w:eastAsia="Calibri"/>
                <w:snapToGrid w:val="0"/>
                <w:color w:val="000000"/>
                <w:sz w:val="24"/>
                <w:szCs w:val="24"/>
              </w:rPr>
              <w:t>TC4 charges</w:t>
            </w:r>
          </w:p>
        </w:tc>
        <w:tc>
          <w:tcPr>
            <w:tcW w:w="2070" w:type="dxa"/>
            <w:tcBorders>
              <w:top w:val="nil"/>
              <w:left w:val="single" w:sz="4" w:space="0" w:color="auto"/>
              <w:bottom w:val="nil"/>
              <w:right w:val="single" w:sz="4" w:space="0" w:color="auto"/>
            </w:tcBorders>
            <w:shd w:val="clear" w:color="auto" w:fill="auto"/>
            <w:vAlign w:val="center"/>
            <w:hideMark/>
          </w:tcPr>
          <w:p w14:paraId="041A4D46"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$60,207.39 </w:t>
            </w:r>
          </w:p>
        </w:tc>
      </w:tr>
      <w:tr w:rsidR="006C61D9" w:rsidRPr="00C87194" w14:paraId="114FE675" w14:textId="77777777" w:rsidTr="007F177C">
        <w:trPr>
          <w:trHeight w:val="312"/>
        </w:trPr>
        <w:tc>
          <w:tcPr>
            <w:tcW w:w="1980" w:type="dxa"/>
            <w:vMerge/>
            <w:tcBorders>
              <w:left w:val="single" w:sz="4" w:space="0" w:color="auto"/>
              <w:right w:val="single" w:sz="4" w:space="0" w:color="auto"/>
            </w:tcBorders>
            <w:vAlign w:val="center"/>
            <w:hideMark/>
          </w:tcPr>
          <w:p w14:paraId="7C1005DF" w14:textId="77777777" w:rsidR="006C61D9" w:rsidRPr="006C61D9" w:rsidRDefault="006C61D9">
            <w:pPr>
              <w:rPr>
                <w:color w:val="000000"/>
                <w:sz w:val="24"/>
                <w:szCs w:val="24"/>
              </w:rPr>
            </w:pPr>
          </w:p>
        </w:tc>
        <w:tc>
          <w:tcPr>
            <w:tcW w:w="2335" w:type="dxa"/>
            <w:tcBorders>
              <w:top w:val="nil"/>
              <w:left w:val="single" w:sz="4" w:space="0" w:color="auto"/>
              <w:bottom w:val="nil"/>
              <w:right w:val="single" w:sz="4" w:space="0" w:color="auto"/>
            </w:tcBorders>
            <w:shd w:val="clear" w:color="auto" w:fill="auto"/>
            <w:vAlign w:val="center"/>
            <w:hideMark/>
          </w:tcPr>
          <w:p w14:paraId="0DBE2837" w14:textId="77777777" w:rsidR="006C61D9" w:rsidRPr="006C61D9" w:rsidRDefault="006C61D9">
            <w:pPr>
              <w:rPr>
                <w:color w:val="000000"/>
                <w:sz w:val="24"/>
                <w:szCs w:val="24"/>
              </w:rPr>
            </w:pPr>
            <w:r w:rsidRPr="006C61D9">
              <w:rPr>
                <w:rFonts w:eastAsia="Calibri"/>
                <w:snapToGrid w:val="0"/>
                <w:color w:val="000000"/>
                <w:sz w:val="24"/>
                <w:szCs w:val="24"/>
              </w:rPr>
              <w:t>SRC charges</w:t>
            </w:r>
          </w:p>
        </w:tc>
        <w:tc>
          <w:tcPr>
            <w:tcW w:w="2070" w:type="dxa"/>
            <w:tcBorders>
              <w:top w:val="nil"/>
              <w:left w:val="single" w:sz="4" w:space="0" w:color="auto"/>
              <w:bottom w:val="nil"/>
              <w:right w:val="single" w:sz="4" w:space="0" w:color="auto"/>
            </w:tcBorders>
            <w:shd w:val="clear" w:color="auto" w:fill="auto"/>
            <w:vAlign w:val="center"/>
            <w:hideMark/>
          </w:tcPr>
          <w:p w14:paraId="53196BF8"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$23,786.65 </w:t>
            </w:r>
          </w:p>
        </w:tc>
      </w:tr>
      <w:tr w:rsidR="006C61D9" w:rsidRPr="00C87194" w14:paraId="0E7FF5A4" w14:textId="77777777" w:rsidTr="007F177C">
        <w:trPr>
          <w:trHeight w:val="312"/>
        </w:trPr>
        <w:tc>
          <w:tcPr>
            <w:tcW w:w="1980" w:type="dxa"/>
            <w:vMerge w:val="restart"/>
            <w:tcBorders>
              <w:top w:val="single" w:sz="4" w:space="0" w:color="auto"/>
              <w:left w:val="single" w:sz="4" w:space="0" w:color="auto"/>
              <w:bottom w:val="nil"/>
              <w:right w:val="single" w:sz="4" w:space="0" w:color="auto"/>
            </w:tcBorders>
            <w:shd w:val="clear" w:color="auto" w:fill="auto"/>
            <w:vAlign w:val="center"/>
            <w:hideMark/>
          </w:tcPr>
          <w:p w14:paraId="4730D905" w14:textId="77777777" w:rsidR="006C61D9" w:rsidRPr="006C61D9" w:rsidRDefault="006C61D9">
            <w:pPr>
              <w:rPr>
                <w:color w:val="000000"/>
                <w:sz w:val="24"/>
                <w:szCs w:val="24"/>
              </w:rPr>
            </w:pPr>
            <w:r w:rsidRPr="006C61D9">
              <w:rPr>
                <w:rFonts w:eastAsia="Calibri"/>
                <w:snapToGrid w:val="0"/>
                <w:color w:val="000000"/>
                <w:sz w:val="24"/>
                <w:szCs w:val="24"/>
              </w:rPr>
              <w:t>Just Energy</w:t>
            </w:r>
          </w:p>
        </w:tc>
        <w:tc>
          <w:tcPr>
            <w:tcW w:w="2335" w:type="dxa"/>
            <w:tcBorders>
              <w:top w:val="single" w:sz="4" w:space="0" w:color="auto"/>
              <w:left w:val="single" w:sz="4" w:space="0" w:color="auto"/>
              <w:bottom w:val="nil"/>
              <w:right w:val="single" w:sz="4" w:space="0" w:color="auto"/>
            </w:tcBorders>
            <w:shd w:val="clear" w:color="auto" w:fill="auto"/>
            <w:vAlign w:val="center"/>
            <w:hideMark/>
          </w:tcPr>
          <w:p w14:paraId="38026896" w14:textId="77777777" w:rsidR="006C61D9" w:rsidRPr="006C61D9" w:rsidRDefault="006C61D9">
            <w:pPr>
              <w:rPr>
                <w:color w:val="000000"/>
                <w:sz w:val="24"/>
                <w:szCs w:val="24"/>
              </w:rPr>
            </w:pPr>
            <w:r w:rsidRPr="006C61D9">
              <w:rPr>
                <w:rFonts w:eastAsia="Calibri"/>
                <w:snapToGrid w:val="0"/>
                <w:color w:val="000000"/>
                <w:sz w:val="24"/>
                <w:szCs w:val="24"/>
              </w:rPr>
              <w:t>Delivery charges</w:t>
            </w:r>
          </w:p>
        </w:tc>
        <w:tc>
          <w:tcPr>
            <w:tcW w:w="2070" w:type="dxa"/>
            <w:tcBorders>
              <w:top w:val="single" w:sz="4" w:space="0" w:color="auto"/>
              <w:left w:val="single" w:sz="4" w:space="0" w:color="auto"/>
              <w:bottom w:val="nil"/>
              <w:right w:val="single" w:sz="4" w:space="0" w:color="auto"/>
            </w:tcBorders>
            <w:shd w:val="clear" w:color="auto" w:fill="auto"/>
            <w:vAlign w:val="center"/>
            <w:hideMark/>
          </w:tcPr>
          <w:p w14:paraId="4F731F2E"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$6,044,411.59 </w:t>
            </w:r>
          </w:p>
        </w:tc>
      </w:tr>
      <w:tr w:rsidR="006C61D9" w:rsidRPr="00C87194" w14:paraId="09AF8A25" w14:textId="77777777" w:rsidTr="007F177C">
        <w:trPr>
          <w:trHeight w:val="312"/>
        </w:trPr>
        <w:tc>
          <w:tcPr>
            <w:tcW w:w="1980" w:type="dxa"/>
            <w:vMerge/>
            <w:tcBorders>
              <w:left w:val="single" w:sz="4" w:space="0" w:color="auto"/>
              <w:right w:val="single" w:sz="4" w:space="0" w:color="auto"/>
            </w:tcBorders>
            <w:vAlign w:val="center"/>
            <w:hideMark/>
          </w:tcPr>
          <w:p w14:paraId="5DFF4475" w14:textId="77777777" w:rsidR="006C61D9" w:rsidRPr="006C61D9" w:rsidRDefault="006C61D9">
            <w:pPr>
              <w:rPr>
                <w:color w:val="000000"/>
                <w:sz w:val="24"/>
                <w:szCs w:val="24"/>
              </w:rPr>
            </w:pPr>
          </w:p>
        </w:tc>
        <w:tc>
          <w:tcPr>
            <w:tcW w:w="2335" w:type="dxa"/>
            <w:tcBorders>
              <w:top w:val="nil"/>
              <w:left w:val="single" w:sz="4" w:space="0" w:color="auto"/>
              <w:bottom w:val="nil"/>
              <w:right w:val="single" w:sz="4" w:space="0" w:color="auto"/>
            </w:tcBorders>
            <w:shd w:val="clear" w:color="auto" w:fill="auto"/>
            <w:vAlign w:val="center"/>
            <w:hideMark/>
          </w:tcPr>
          <w:p w14:paraId="24F218F8" w14:textId="77777777" w:rsidR="006C61D9" w:rsidRPr="006C61D9" w:rsidRDefault="006C61D9">
            <w:pPr>
              <w:rPr>
                <w:color w:val="000000"/>
                <w:sz w:val="24"/>
                <w:szCs w:val="24"/>
              </w:rPr>
            </w:pPr>
            <w:r w:rsidRPr="006C61D9">
              <w:rPr>
                <w:rFonts w:eastAsia="Calibri"/>
                <w:snapToGrid w:val="0"/>
                <w:color w:val="000000"/>
                <w:sz w:val="24"/>
                <w:szCs w:val="24"/>
              </w:rPr>
              <w:t>TC5 charges</w:t>
            </w:r>
          </w:p>
        </w:tc>
        <w:tc>
          <w:tcPr>
            <w:tcW w:w="2070" w:type="dxa"/>
            <w:tcBorders>
              <w:top w:val="nil"/>
              <w:left w:val="single" w:sz="4" w:space="0" w:color="auto"/>
              <w:bottom w:val="nil"/>
              <w:right w:val="single" w:sz="4" w:space="0" w:color="auto"/>
            </w:tcBorders>
            <w:shd w:val="clear" w:color="auto" w:fill="auto"/>
            <w:vAlign w:val="center"/>
            <w:hideMark/>
          </w:tcPr>
          <w:p w14:paraId="76B49B1C"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$89,617.62 </w:t>
            </w:r>
          </w:p>
        </w:tc>
      </w:tr>
      <w:tr w:rsidR="006C61D9" w:rsidRPr="00C87194" w14:paraId="092CFC40" w14:textId="77777777" w:rsidTr="007F177C">
        <w:trPr>
          <w:trHeight w:val="312"/>
        </w:trPr>
        <w:tc>
          <w:tcPr>
            <w:tcW w:w="1980" w:type="dxa"/>
            <w:vMerge/>
            <w:tcBorders>
              <w:left w:val="single" w:sz="4" w:space="0" w:color="auto"/>
              <w:right w:val="single" w:sz="4" w:space="0" w:color="auto"/>
            </w:tcBorders>
            <w:vAlign w:val="center"/>
            <w:hideMark/>
          </w:tcPr>
          <w:p w14:paraId="2E53626B" w14:textId="77777777" w:rsidR="006C61D9" w:rsidRPr="006C61D9" w:rsidRDefault="006C61D9">
            <w:pPr>
              <w:rPr>
                <w:color w:val="000000"/>
                <w:sz w:val="24"/>
                <w:szCs w:val="24"/>
              </w:rPr>
            </w:pPr>
          </w:p>
        </w:tc>
        <w:tc>
          <w:tcPr>
            <w:tcW w:w="2335" w:type="dxa"/>
            <w:tcBorders>
              <w:top w:val="nil"/>
              <w:left w:val="single" w:sz="4" w:space="0" w:color="auto"/>
              <w:bottom w:val="nil"/>
              <w:right w:val="single" w:sz="4" w:space="0" w:color="auto"/>
            </w:tcBorders>
            <w:shd w:val="clear" w:color="auto" w:fill="auto"/>
            <w:vAlign w:val="center"/>
            <w:hideMark/>
          </w:tcPr>
          <w:p w14:paraId="4FF36675" w14:textId="77777777" w:rsidR="006C61D9" w:rsidRPr="006C61D9" w:rsidRDefault="006C61D9">
            <w:pPr>
              <w:rPr>
                <w:color w:val="000000"/>
                <w:sz w:val="24"/>
                <w:szCs w:val="24"/>
              </w:rPr>
            </w:pPr>
            <w:r w:rsidRPr="006C61D9">
              <w:rPr>
                <w:rFonts w:eastAsia="Calibri"/>
                <w:snapToGrid w:val="0"/>
                <w:color w:val="000000"/>
                <w:sz w:val="24"/>
                <w:szCs w:val="24"/>
              </w:rPr>
              <w:t>SRC charges</w:t>
            </w:r>
          </w:p>
        </w:tc>
        <w:tc>
          <w:tcPr>
            <w:tcW w:w="2070" w:type="dxa"/>
            <w:tcBorders>
              <w:top w:val="nil"/>
              <w:left w:val="single" w:sz="4" w:space="0" w:color="auto"/>
              <w:bottom w:val="nil"/>
              <w:right w:val="single" w:sz="4" w:space="0" w:color="auto"/>
            </w:tcBorders>
            <w:shd w:val="clear" w:color="auto" w:fill="auto"/>
            <w:vAlign w:val="center"/>
            <w:hideMark/>
          </w:tcPr>
          <w:p w14:paraId="47AE6A33"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$60,316.96 </w:t>
            </w:r>
          </w:p>
        </w:tc>
      </w:tr>
      <w:tr w:rsidR="006C61D9" w:rsidRPr="00C87194" w14:paraId="7265B066" w14:textId="77777777" w:rsidTr="007F177C">
        <w:trPr>
          <w:trHeight w:val="312"/>
        </w:trPr>
        <w:tc>
          <w:tcPr>
            <w:tcW w:w="1980" w:type="dxa"/>
            <w:vMerge w:val="restart"/>
            <w:tcBorders>
              <w:top w:val="single" w:sz="4" w:space="0" w:color="auto"/>
              <w:left w:val="single" w:sz="4" w:space="0" w:color="auto"/>
              <w:bottom w:val="nil"/>
              <w:right w:val="single" w:sz="4" w:space="0" w:color="auto"/>
            </w:tcBorders>
            <w:shd w:val="clear" w:color="auto" w:fill="auto"/>
            <w:vAlign w:val="center"/>
            <w:hideMark/>
          </w:tcPr>
          <w:p w14:paraId="7835F42C" w14:textId="77777777" w:rsidR="006C61D9" w:rsidRPr="006C61D9" w:rsidRDefault="006C61D9">
            <w:pPr>
              <w:rPr>
                <w:color w:val="000000"/>
                <w:sz w:val="24"/>
                <w:szCs w:val="24"/>
              </w:rPr>
            </w:pPr>
            <w:r w:rsidRPr="006C61D9">
              <w:rPr>
                <w:rFonts w:eastAsia="Calibri"/>
                <w:snapToGrid w:val="0"/>
                <w:color w:val="000000"/>
                <w:sz w:val="24"/>
                <w:szCs w:val="24"/>
              </w:rPr>
              <w:t>Liberty Power</w:t>
            </w:r>
          </w:p>
        </w:tc>
        <w:tc>
          <w:tcPr>
            <w:tcW w:w="2335" w:type="dxa"/>
            <w:tcBorders>
              <w:top w:val="single" w:sz="4" w:space="0" w:color="auto"/>
              <w:left w:val="single" w:sz="4" w:space="0" w:color="auto"/>
              <w:bottom w:val="nil"/>
              <w:right w:val="single" w:sz="4" w:space="0" w:color="auto"/>
            </w:tcBorders>
            <w:shd w:val="clear" w:color="auto" w:fill="auto"/>
            <w:vAlign w:val="center"/>
            <w:hideMark/>
          </w:tcPr>
          <w:p w14:paraId="48E528EE" w14:textId="77777777" w:rsidR="006C61D9" w:rsidRPr="006C61D9" w:rsidRDefault="006C61D9">
            <w:pPr>
              <w:rPr>
                <w:color w:val="000000"/>
                <w:sz w:val="24"/>
                <w:szCs w:val="24"/>
              </w:rPr>
            </w:pPr>
            <w:r w:rsidRPr="006C61D9">
              <w:rPr>
                <w:rFonts w:eastAsia="Calibri"/>
                <w:snapToGrid w:val="0"/>
                <w:color w:val="000000"/>
                <w:sz w:val="24"/>
                <w:szCs w:val="24"/>
              </w:rPr>
              <w:t>TC5 true-up charge</w:t>
            </w:r>
          </w:p>
        </w:tc>
        <w:tc>
          <w:tcPr>
            <w:tcW w:w="2070" w:type="dxa"/>
            <w:tcBorders>
              <w:top w:val="single" w:sz="4" w:space="0" w:color="auto"/>
              <w:left w:val="single" w:sz="4" w:space="0" w:color="auto"/>
              <w:bottom w:val="nil"/>
              <w:right w:val="single" w:sz="4" w:space="0" w:color="auto"/>
            </w:tcBorders>
            <w:shd w:val="clear" w:color="auto" w:fill="auto"/>
            <w:vAlign w:val="center"/>
            <w:hideMark/>
          </w:tcPr>
          <w:p w14:paraId="1A601080"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$25,433.81 </w:t>
            </w:r>
          </w:p>
        </w:tc>
      </w:tr>
      <w:tr w:rsidR="006C61D9" w:rsidRPr="00C87194" w14:paraId="7F4AF0F0" w14:textId="77777777" w:rsidTr="007F177C">
        <w:trPr>
          <w:trHeight w:val="312"/>
        </w:trPr>
        <w:tc>
          <w:tcPr>
            <w:tcW w:w="1980" w:type="dxa"/>
            <w:vMerge/>
            <w:tcBorders>
              <w:left w:val="single" w:sz="4" w:space="0" w:color="auto"/>
              <w:right w:val="single" w:sz="4" w:space="0" w:color="auto"/>
            </w:tcBorders>
            <w:vAlign w:val="center"/>
            <w:hideMark/>
          </w:tcPr>
          <w:p w14:paraId="422D3835" w14:textId="77777777" w:rsidR="006C61D9" w:rsidRPr="006C61D9" w:rsidRDefault="006C61D9">
            <w:pPr>
              <w:rPr>
                <w:color w:val="000000"/>
                <w:sz w:val="24"/>
                <w:szCs w:val="24"/>
              </w:rPr>
            </w:pPr>
          </w:p>
        </w:tc>
        <w:tc>
          <w:tcPr>
            <w:tcW w:w="2335" w:type="dxa"/>
            <w:tcBorders>
              <w:top w:val="nil"/>
              <w:left w:val="single" w:sz="4" w:space="0" w:color="auto"/>
              <w:bottom w:val="nil"/>
              <w:right w:val="single" w:sz="4" w:space="0" w:color="auto"/>
            </w:tcBorders>
            <w:shd w:val="clear" w:color="auto" w:fill="auto"/>
            <w:vAlign w:val="center"/>
            <w:hideMark/>
          </w:tcPr>
          <w:p w14:paraId="5BD22C88" w14:textId="77777777" w:rsidR="006C61D9" w:rsidRPr="006C61D9" w:rsidRDefault="006C61D9">
            <w:pPr>
              <w:rPr>
                <w:color w:val="000000"/>
                <w:sz w:val="24"/>
                <w:szCs w:val="24"/>
              </w:rPr>
            </w:pPr>
            <w:r w:rsidRPr="006C61D9">
              <w:rPr>
                <w:rFonts w:eastAsia="Calibri"/>
                <w:snapToGrid w:val="0"/>
                <w:color w:val="000000"/>
                <w:sz w:val="24"/>
                <w:szCs w:val="24"/>
              </w:rPr>
              <w:t>SRC true-up charge</w:t>
            </w:r>
          </w:p>
        </w:tc>
        <w:tc>
          <w:tcPr>
            <w:tcW w:w="2070" w:type="dxa"/>
            <w:tcBorders>
              <w:top w:val="nil"/>
              <w:left w:val="single" w:sz="4" w:space="0" w:color="auto"/>
              <w:bottom w:val="nil"/>
              <w:right w:val="single" w:sz="4" w:space="0" w:color="auto"/>
            </w:tcBorders>
            <w:shd w:val="clear" w:color="auto" w:fill="auto"/>
            <w:vAlign w:val="center"/>
            <w:hideMark/>
          </w:tcPr>
          <w:p w14:paraId="29035119"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$5,573.45 </w:t>
            </w:r>
          </w:p>
        </w:tc>
      </w:tr>
      <w:tr w:rsidR="006C61D9" w:rsidRPr="00C87194" w14:paraId="053909AC" w14:textId="77777777" w:rsidTr="007F177C">
        <w:trPr>
          <w:trHeight w:val="312"/>
        </w:trPr>
        <w:tc>
          <w:tcPr>
            <w:tcW w:w="1980" w:type="dxa"/>
            <w:vMerge w:val="restart"/>
            <w:tcBorders>
              <w:top w:val="single" w:sz="4" w:space="0" w:color="auto"/>
              <w:left w:val="single" w:sz="4" w:space="0" w:color="auto"/>
              <w:bottom w:val="nil"/>
              <w:right w:val="single" w:sz="4" w:space="0" w:color="auto"/>
            </w:tcBorders>
            <w:shd w:val="clear" w:color="auto" w:fill="auto"/>
            <w:vAlign w:val="center"/>
            <w:hideMark/>
          </w:tcPr>
          <w:p w14:paraId="05979CFC" w14:textId="77777777" w:rsidR="006C61D9" w:rsidRPr="006C61D9" w:rsidRDefault="006C61D9">
            <w:pPr>
              <w:rPr>
                <w:color w:val="000000"/>
                <w:sz w:val="24"/>
                <w:szCs w:val="24"/>
              </w:rPr>
            </w:pPr>
            <w:r w:rsidRPr="006C61D9">
              <w:rPr>
                <w:rFonts w:eastAsia="Calibri"/>
                <w:snapToGrid w:val="0"/>
                <w:color w:val="000000"/>
                <w:sz w:val="24"/>
                <w:szCs w:val="24"/>
              </w:rPr>
              <w:t>Power of Texas</w:t>
            </w:r>
          </w:p>
        </w:tc>
        <w:tc>
          <w:tcPr>
            <w:tcW w:w="2335" w:type="dxa"/>
            <w:tcBorders>
              <w:top w:val="single" w:sz="4" w:space="0" w:color="auto"/>
              <w:left w:val="single" w:sz="4" w:space="0" w:color="auto"/>
              <w:bottom w:val="nil"/>
              <w:right w:val="single" w:sz="4" w:space="0" w:color="auto"/>
            </w:tcBorders>
            <w:shd w:val="clear" w:color="auto" w:fill="auto"/>
            <w:vAlign w:val="center"/>
            <w:hideMark/>
          </w:tcPr>
          <w:p w14:paraId="246E2FFD" w14:textId="77777777" w:rsidR="006C61D9" w:rsidRPr="006C61D9" w:rsidRDefault="006C61D9">
            <w:pPr>
              <w:rPr>
                <w:color w:val="000000"/>
                <w:sz w:val="24"/>
                <w:szCs w:val="24"/>
              </w:rPr>
            </w:pPr>
            <w:r w:rsidRPr="006C61D9">
              <w:rPr>
                <w:rFonts w:eastAsia="Calibri"/>
                <w:snapToGrid w:val="0"/>
                <w:color w:val="000000"/>
                <w:sz w:val="24"/>
                <w:szCs w:val="24"/>
              </w:rPr>
              <w:t>Delivery charges</w:t>
            </w:r>
          </w:p>
        </w:tc>
        <w:tc>
          <w:tcPr>
            <w:tcW w:w="2070" w:type="dxa"/>
            <w:tcBorders>
              <w:top w:val="single" w:sz="4" w:space="0" w:color="auto"/>
              <w:left w:val="single" w:sz="4" w:space="0" w:color="auto"/>
              <w:bottom w:val="nil"/>
              <w:right w:val="single" w:sz="4" w:space="0" w:color="auto"/>
            </w:tcBorders>
            <w:shd w:val="clear" w:color="auto" w:fill="auto"/>
            <w:vAlign w:val="center"/>
            <w:hideMark/>
          </w:tcPr>
          <w:p w14:paraId="3233B87B"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$74,524.92 </w:t>
            </w:r>
          </w:p>
        </w:tc>
      </w:tr>
      <w:tr w:rsidR="006C61D9" w:rsidRPr="00C87194" w14:paraId="5E2D2E8D" w14:textId="77777777" w:rsidTr="007F177C">
        <w:trPr>
          <w:trHeight w:val="312"/>
        </w:trPr>
        <w:tc>
          <w:tcPr>
            <w:tcW w:w="1980" w:type="dxa"/>
            <w:vMerge/>
            <w:tcBorders>
              <w:left w:val="single" w:sz="4" w:space="0" w:color="auto"/>
              <w:right w:val="single" w:sz="4" w:space="0" w:color="auto"/>
            </w:tcBorders>
            <w:vAlign w:val="center"/>
            <w:hideMark/>
          </w:tcPr>
          <w:p w14:paraId="7834CDCB" w14:textId="77777777" w:rsidR="006C61D9" w:rsidRPr="006C61D9" w:rsidRDefault="006C61D9">
            <w:pPr>
              <w:rPr>
                <w:color w:val="000000"/>
                <w:sz w:val="24"/>
                <w:szCs w:val="24"/>
              </w:rPr>
            </w:pPr>
          </w:p>
        </w:tc>
        <w:tc>
          <w:tcPr>
            <w:tcW w:w="2335" w:type="dxa"/>
            <w:tcBorders>
              <w:top w:val="nil"/>
              <w:left w:val="single" w:sz="4" w:space="0" w:color="auto"/>
              <w:bottom w:val="nil"/>
              <w:right w:val="single" w:sz="4" w:space="0" w:color="auto"/>
            </w:tcBorders>
            <w:shd w:val="clear" w:color="auto" w:fill="auto"/>
            <w:vAlign w:val="center"/>
            <w:hideMark/>
          </w:tcPr>
          <w:p w14:paraId="1CC7DB6F" w14:textId="77777777" w:rsidR="006C61D9" w:rsidRPr="006C61D9" w:rsidRDefault="006C61D9">
            <w:pPr>
              <w:rPr>
                <w:color w:val="000000"/>
                <w:sz w:val="24"/>
                <w:szCs w:val="24"/>
              </w:rPr>
            </w:pPr>
            <w:r w:rsidRPr="006C61D9">
              <w:rPr>
                <w:rFonts w:eastAsia="Calibri"/>
                <w:snapToGrid w:val="0"/>
                <w:color w:val="000000"/>
                <w:sz w:val="24"/>
                <w:szCs w:val="24"/>
              </w:rPr>
              <w:t>TC4 charges</w:t>
            </w:r>
          </w:p>
        </w:tc>
        <w:tc>
          <w:tcPr>
            <w:tcW w:w="2070" w:type="dxa"/>
            <w:tcBorders>
              <w:top w:val="nil"/>
              <w:left w:val="single" w:sz="4" w:space="0" w:color="auto"/>
              <w:bottom w:val="nil"/>
              <w:right w:val="single" w:sz="4" w:space="0" w:color="auto"/>
            </w:tcBorders>
            <w:shd w:val="clear" w:color="auto" w:fill="auto"/>
            <w:vAlign w:val="center"/>
            <w:hideMark/>
          </w:tcPr>
          <w:p w14:paraId="3A3A0060"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$3,628.54 </w:t>
            </w:r>
          </w:p>
        </w:tc>
      </w:tr>
      <w:tr w:rsidR="006C61D9" w:rsidRPr="00C87194" w14:paraId="6C51805C" w14:textId="77777777" w:rsidTr="007F177C">
        <w:trPr>
          <w:trHeight w:val="312"/>
        </w:trPr>
        <w:tc>
          <w:tcPr>
            <w:tcW w:w="1980" w:type="dxa"/>
            <w:vMerge/>
            <w:tcBorders>
              <w:left w:val="single" w:sz="4" w:space="0" w:color="auto"/>
              <w:right w:val="single" w:sz="4" w:space="0" w:color="auto"/>
            </w:tcBorders>
            <w:vAlign w:val="center"/>
            <w:hideMark/>
          </w:tcPr>
          <w:p w14:paraId="065FC299" w14:textId="77777777" w:rsidR="006C61D9" w:rsidRPr="006C61D9" w:rsidRDefault="006C61D9">
            <w:pPr>
              <w:rPr>
                <w:color w:val="000000"/>
                <w:sz w:val="24"/>
                <w:szCs w:val="24"/>
              </w:rPr>
            </w:pPr>
          </w:p>
        </w:tc>
        <w:tc>
          <w:tcPr>
            <w:tcW w:w="2335" w:type="dxa"/>
            <w:tcBorders>
              <w:top w:val="nil"/>
              <w:left w:val="single" w:sz="4" w:space="0" w:color="auto"/>
              <w:bottom w:val="nil"/>
              <w:right w:val="single" w:sz="4" w:space="0" w:color="auto"/>
            </w:tcBorders>
            <w:shd w:val="clear" w:color="auto" w:fill="auto"/>
            <w:vAlign w:val="center"/>
            <w:hideMark/>
          </w:tcPr>
          <w:p w14:paraId="22B92639" w14:textId="77777777" w:rsidR="006C61D9" w:rsidRPr="006C61D9" w:rsidRDefault="006C61D9">
            <w:pPr>
              <w:rPr>
                <w:color w:val="000000"/>
                <w:sz w:val="24"/>
                <w:szCs w:val="24"/>
              </w:rPr>
            </w:pPr>
            <w:r w:rsidRPr="006C61D9">
              <w:rPr>
                <w:rFonts w:eastAsia="Calibri"/>
                <w:snapToGrid w:val="0"/>
                <w:color w:val="000000"/>
                <w:sz w:val="24"/>
                <w:szCs w:val="24"/>
              </w:rPr>
              <w:t>SRC charges</w:t>
            </w:r>
          </w:p>
        </w:tc>
        <w:tc>
          <w:tcPr>
            <w:tcW w:w="2070" w:type="dxa"/>
            <w:tcBorders>
              <w:top w:val="nil"/>
              <w:left w:val="single" w:sz="4" w:space="0" w:color="auto"/>
              <w:bottom w:val="nil"/>
              <w:right w:val="single" w:sz="4" w:space="0" w:color="auto"/>
            </w:tcBorders>
            <w:shd w:val="clear" w:color="auto" w:fill="auto"/>
            <w:vAlign w:val="center"/>
            <w:hideMark/>
          </w:tcPr>
          <w:p w14:paraId="33FC2CDA"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$1,438.12 </w:t>
            </w:r>
          </w:p>
        </w:tc>
      </w:tr>
      <w:tr w:rsidR="006C61D9" w:rsidRPr="00C87194" w14:paraId="65210EED" w14:textId="77777777" w:rsidTr="007F177C">
        <w:trPr>
          <w:trHeight w:val="312"/>
        </w:trPr>
        <w:tc>
          <w:tcPr>
            <w:tcW w:w="1980" w:type="dxa"/>
            <w:vMerge w:val="restart"/>
            <w:tcBorders>
              <w:top w:val="single" w:sz="4" w:space="0" w:color="auto"/>
              <w:left w:val="single" w:sz="4" w:space="0" w:color="auto"/>
              <w:bottom w:val="nil"/>
              <w:right w:val="single" w:sz="4" w:space="0" w:color="auto"/>
            </w:tcBorders>
            <w:shd w:val="clear" w:color="auto" w:fill="auto"/>
            <w:vAlign w:val="center"/>
            <w:hideMark/>
          </w:tcPr>
          <w:p w14:paraId="7464FC61" w14:textId="77777777" w:rsidR="006C61D9" w:rsidRPr="006C61D9" w:rsidRDefault="006C61D9">
            <w:pPr>
              <w:rPr>
                <w:color w:val="000000"/>
                <w:sz w:val="24"/>
                <w:szCs w:val="24"/>
              </w:rPr>
            </w:pPr>
            <w:r w:rsidRPr="006C61D9">
              <w:rPr>
                <w:rFonts w:eastAsia="Calibri"/>
                <w:snapToGrid w:val="0"/>
                <w:color w:val="000000"/>
                <w:sz w:val="24"/>
                <w:szCs w:val="24"/>
              </w:rPr>
              <w:t>POGO Energy</w:t>
            </w:r>
          </w:p>
        </w:tc>
        <w:tc>
          <w:tcPr>
            <w:tcW w:w="2335" w:type="dxa"/>
            <w:tcBorders>
              <w:top w:val="single" w:sz="4" w:space="0" w:color="auto"/>
              <w:left w:val="single" w:sz="4" w:space="0" w:color="auto"/>
              <w:bottom w:val="nil"/>
              <w:right w:val="single" w:sz="4" w:space="0" w:color="auto"/>
            </w:tcBorders>
            <w:shd w:val="clear" w:color="auto" w:fill="auto"/>
            <w:vAlign w:val="center"/>
            <w:hideMark/>
          </w:tcPr>
          <w:p w14:paraId="6133081A" w14:textId="77777777" w:rsidR="006C61D9" w:rsidRPr="006C61D9" w:rsidRDefault="006C61D9">
            <w:pPr>
              <w:rPr>
                <w:color w:val="000000"/>
                <w:sz w:val="24"/>
                <w:szCs w:val="24"/>
              </w:rPr>
            </w:pPr>
            <w:r w:rsidRPr="006C61D9">
              <w:rPr>
                <w:rFonts w:eastAsia="Calibri"/>
                <w:snapToGrid w:val="0"/>
                <w:color w:val="000000"/>
                <w:sz w:val="24"/>
                <w:szCs w:val="24"/>
              </w:rPr>
              <w:t>Delivery charges</w:t>
            </w:r>
          </w:p>
        </w:tc>
        <w:tc>
          <w:tcPr>
            <w:tcW w:w="2070" w:type="dxa"/>
            <w:tcBorders>
              <w:top w:val="single" w:sz="4" w:space="0" w:color="auto"/>
              <w:left w:val="single" w:sz="4" w:space="0" w:color="auto"/>
              <w:bottom w:val="nil"/>
              <w:right w:val="single" w:sz="4" w:space="0" w:color="auto"/>
            </w:tcBorders>
            <w:shd w:val="clear" w:color="auto" w:fill="auto"/>
            <w:vAlign w:val="center"/>
            <w:hideMark/>
          </w:tcPr>
          <w:p w14:paraId="7DCAB8D0"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$247,590.99 </w:t>
            </w:r>
          </w:p>
        </w:tc>
      </w:tr>
      <w:tr w:rsidR="006C61D9" w:rsidRPr="00C87194" w14:paraId="0EE997C6" w14:textId="77777777" w:rsidTr="007F177C">
        <w:trPr>
          <w:trHeight w:val="312"/>
        </w:trPr>
        <w:tc>
          <w:tcPr>
            <w:tcW w:w="1980" w:type="dxa"/>
            <w:vMerge/>
            <w:tcBorders>
              <w:left w:val="single" w:sz="4" w:space="0" w:color="auto"/>
              <w:right w:val="single" w:sz="4" w:space="0" w:color="auto"/>
            </w:tcBorders>
            <w:vAlign w:val="center"/>
            <w:hideMark/>
          </w:tcPr>
          <w:p w14:paraId="4046949B" w14:textId="77777777" w:rsidR="006C61D9" w:rsidRPr="006C61D9" w:rsidRDefault="006C61D9">
            <w:pPr>
              <w:rPr>
                <w:color w:val="000000"/>
                <w:sz w:val="24"/>
                <w:szCs w:val="24"/>
              </w:rPr>
            </w:pPr>
          </w:p>
        </w:tc>
        <w:tc>
          <w:tcPr>
            <w:tcW w:w="2335" w:type="dxa"/>
            <w:tcBorders>
              <w:top w:val="nil"/>
              <w:left w:val="single" w:sz="4" w:space="0" w:color="auto"/>
              <w:bottom w:val="nil"/>
              <w:right w:val="single" w:sz="4" w:space="0" w:color="auto"/>
            </w:tcBorders>
            <w:shd w:val="clear" w:color="auto" w:fill="auto"/>
            <w:vAlign w:val="center"/>
            <w:hideMark/>
          </w:tcPr>
          <w:p w14:paraId="6EBFD779" w14:textId="77777777" w:rsidR="006C61D9" w:rsidRPr="006C61D9" w:rsidRDefault="006C61D9">
            <w:pPr>
              <w:rPr>
                <w:color w:val="000000"/>
                <w:sz w:val="24"/>
                <w:szCs w:val="24"/>
              </w:rPr>
            </w:pPr>
            <w:r w:rsidRPr="006C61D9">
              <w:rPr>
                <w:rFonts w:eastAsia="Calibri"/>
                <w:snapToGrid w:val="0"/>
                <w:color w:val="000000"/>
                <w:sz w:val="24"/>
                <w:szCs w:val="24"/>
              </w:rPr>
              <w:t>SRC charges</w:t>
            </w:r>
          </w:p>
        </w:tc>
        <w:tc>
          <w:tcPr>
            <w:tcW w:w="2070" w:type="dxa"/>
            <w:tcBorders>
              <w:top w:val="nil"/>
              <w:left w:val="single" w:sz="4" w:space="0" w:color="auto"/>
              <w:bottom w:val="nil"/>
              <w:right w:val="single" w:sz="4" w:space="0" w:color="auto"/>
            </w:tcBorders>
            <w:shd w:val="clear" w:color="auto" w:fill="auto"/>
            <w:vAlign w:val="center"/>
            <w:hideMark/>
          </w:tcPr>
          <w:p w14:paraId="50BA1CA4" w14:textId="77777777" w:rsidR="006C61D9" w:rsidRPr="006C61D9" w:rsidRDefault="006C61D9">
            <w:pPr>
              <w:jc w:val="right"/>
              <w:rPr>
                <w:color w:val="000000"/>
                <w:sz w:val="24"/>
                <w:szCs w:val="24"/>
              </w:rPr>
            </w:pPr>
            <w:r w:rsidRPr="006C61D9">
              <w:rPr>
                <w:rFonts w:eastAsia="Calibri"/>
                <w:snapToGrid w:val="0"/>
                <w:color w:val="000000"/>
                <w:sz w:val="24"/>
                <w:szCs w:val="24"/>
              </w:rPr>
              <w:t xml:space="preserve">$2,413.08 </w:t>
            </w:r>
          </w:p>
        </w:tc>
      </w:tr>
      <w:tr w:rsidR="006C61D9" w:rsidRPr="00C87194" w14:paraId="1BA0A90A" w14:textId="77777777">
        <w:trPr>
          <w:trHeight w:val="312"/>
        </w:trPr>
        <w:tc>
          <w:tcPr>
            <w:tcW w:w="431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8704C" w14:textId="20B777CF" w:rsidR="006C61D9" w:rsidRPr="006C61D9" w:rsidRDefault="006C61D9">
            <w:pPr>
              <w:jc w:val="right"/>
              <w:rPr>
                <w:b/>
                <w:bCs/>
                <w:color w:val="000000"/>
                <w:sz w:val="24"/>
                <w:szCs w:val="24"/>
              </w:rPr>
            </w:pPr>
            <w:r w:rsidRPr="006C61D9">
              <w:rPr>
                <w:b/>
                <w:bCs/>
                <w:color w:val="000000"/>
                <w:sz w:val="24"/>
                <w:szCs w:val="24"/>
              </w:rPr>
              <w:t>Total</w:t>
            </w:r>
            <w:r w:rsidR="009E18EF">
              <w:rPr>
                <w:b/>
                <w:bCs/>
                <w:color w:val="000000"/>
                <w:sz w:val="24"/>
                <w:szCs w:val="24"/>
              </w:rPr>
              <w:t>:</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8EBF4" w14:textId="77777777" w:rsidR="006C61D9" w:rsidRPr="006C61D9" w:rsidRDefault="006C61D9">
            <w:pPr>
              <w:jc w:val="right"/>
              <w:rPr>
                <w:color w:val="000000"/>
                <w:sz w:val="24"/>
                <w:szCs w:val="24"/>
              </w:rPr>
            </w:pPr>
            <w:r w:rsidRPr="006C61D9">
              <w:rPr>
                <w:color w:val="000000"/>
                <w:sz w:val="24"/>
                <w:szCs w:val="24"/>
              </w:rPr>
              <w:t xml:space="preserve">$14,464,028.35 </w:t>
            </w:r>
          </w:p>
        </w:tc>
      </w:tr>
    </w:tbl>
    <w:p w14:paraId="27550415" w14:textId="77777777" w:rsidR="006E35AE" w:rsidRPr="006E35AE" w:rsidRDefault="006E35AE" w:rsidP="006C61D9">
      <w:pPr>
        <w:widowControl w:val="0"/>
        <w:tabs>
          <w:tab w:val="left" w:pos="720"/>
        </w:tabs>
        <w:spacing w:line="480" w:lineRule="auto"/>
        <w:ind w:left="720" w:hanging="720"/>
        <w:jc w:val="both"/>
        <w:rPr>
          <w:rFonts w:eastAsia="Calibri"/>
          <w:snapToGrid w:val="0"/>
          <w:sz w:val="24"/>
          <w:szCs w:val="24"/>
        </w:rPr>
      </w:pPr>
    </w:p>
    <w:p w14:paraId="038A5A4C" w14:textId="79DF8593" w:rsidR="006E35AE" w:rsidRPr="006E35AE" w:rsidRDefault="006E35AE" w:rsidP="00183989">
      <w:pPr>
        <w:widowControl w:val="0"/>
        <w:tabs>
          <w:tab w:val="left" w:pos="720"/>
        </w:tabs>
        <w:spacing w:line="480" w:lineRule="auto"/>
        <w:ind w:left="720"/>
        <w:jc w:val="both"/>
        <w:rPr>
          <w:rFonts w:eastAsia="Calibri"/>
          <w:snapToGrid w:val="0"/>
          <w:sz w:val="24"/>
          <w:szCs w:val="24"/>
        </w:rPr>
      </w:pPr>
      <w:r w:rsidRPr="006E35AE">
        <w:rPr>
          <w:rFonts w:eastAsia="Calibri"/>
          <w:snapToGrid w:val="0"/>
          <w:sz w:val="24"/>
          <w:szCs w:val="24"/>
        </w:rPr>
        <w:tab/>
      </w:r>
      <w:r w:rsidRPr="1E8A8C27">
        <w:rPr>
          <w:rFonts w:eastAsia="Calibri"/>
          <w:sz w:val="24"/>
          <w:szCs w:val="24"/>
        </w:rPr>
        <w:t xml:space="preserve">To the extent that there are sufficient funds in the Bankrupt CR’s bankruptcy for repayment to general unsecured creditors such as the Company, </w:t>
      </w:r>
      <w:r w:rsidR="00F954F4">
        <w:rPr>
          <w:rFonts w:eastAsia="Calibri"/>
          <w:sz w:val="24"/>
          <w:szCs w:val="24"/>
        </w:rPr>
        <w:t>CenterPoint Houston</w:t>
      </w:r>
      <w:r w:rsidRPr="1E8A8C27">
        <w:rPr>
          <w:rFonts w:eastAsia="Calibri"/>
          <w:sz w:val="24"/>
          <w:szCs w:val="24"/>
        </w:rPr>
        <w:t xml:space="preserve"> will share with other general unsecured creditors of the Bankrupt CR in the pro rata recovery of amounts owed, subject to the terms and conditions detailed in the Bankrupt CR’s bankruptcy plan of reorganization or plan of liquidation.  The proofs of claim filed by the Company will be used by the bankruptcy administrator of the Bankrupt CR to calculate payments to the Company, subject to the terms and conditions detailed in the Bankrupt CR’s bankruptcy plan of reorganization or plan of liquidation.  In addition to filing proofs of claim in each Bankrupt CR’s bankruptcy case, the Company negotiated terms with certain Bankrupt CRs that were still operating during the pendency of their </w:t>
      </w:r>
      <w:r w:rsidRPr="1E8A8C27">
        <w:rPr>
          <w:rFonts w:eastAsia="Calibri"/>
          <w:sz w:val="24"/>
          <w:szCs w:val="24"/>
        </w:rPr>
        <w:lastRenderedPageBreak/>
        <w:t xml:space="preserve">respective bankruptcy cases.  </w:t>
      </w:r>
    </w:p>
    <w:p w14:paraId="6DB6BFB7" w14:textId="06B5AC34" w:rsidR="006E35AE" w:rsidRPr="006E35AE" w:rsidRDefault="006E35AE" w:rsidP="006E35AE">
      <w:pPr>
        <w:widowControl w:val="0"/>
        <w:tabs>
          <w:tab w:val="left" w:pos="720"/>
        </w:tabs>
        <w:spacing w:line="480" w:lineRule="auto"/>
        <w:ind w:left="720" w:hanging="720"/>
        <w:jc w:val="both"/>
        <w:rPr>
          <w:rFonts w:ascii="Times New Roman Bold" w:eastAsia="Calibri" w:hAnsi="Times New Roman Bold"/>
          <w:b/>
          <w:caps/>
          <w:sz w:val="24"/>
          <w:szCs w:val="24"/>
        </w:rPr>
      </w:pPr>
      <w:r w:rsidRPr="006E35AE">
        <w:rPr>
          <w:rFonts w:ascii="Times New Roman Bold" w:eastAsia="Calibri" w:hAnsi="Times New Roman Bold"/>
          <w:b/>
          <w:caps/>
          <w:sz w:val="24"/>
          <w:szCs w:val="24"/>
        </w:rPr>
        <w:t>Q.</w:t>
      </w:r>
      <w:r w:rsidRPr="006E35AE">
        <w:rPr>
          <w:rFonts w:ascii="Times New Roman Bold" w:eastAsia="Calibri" w:hAnsi="Times New Roman Bold"/>
          <w:b/>
          <w:caps/>
          <w:sz w:val="24"/>
          <w:szCs w:val="24"/>
        </w:rPr>
        <w:tab/>
        <w:t xml:space="preserve">PLEASE EXPLAIN </w:t>
      </w:r>
      <w:r w:rsidR="00F954F4">
        <w:rPr>
          <w:rFonts w:ascii="Times New Roman Bold" w:eastAsia="Calibri" w:hAnsi="Times New Roman Bold"/>
          <w:b/>
          <w:caps/>
          <w:sz w:val="24"/>
          <w:szCs w:val="24"/>
        </w:rPr>
        <w:t>Company’s negotiations with the bankrupt crs</w:t>
      </w:r>
      <w:r w:rsidRPr="006E35AE">
        <w:rPr>
          <w:rFonts w:ascii="Times New Roman Bold" w:eastAsia="Calibri" w:hAnsi="Times New Roman Bold"/>
          <w:b/>
          <w:caps/>
          <w:sz w:val="24"/>
          <w:szCs w:val="24"/>
        </w:rPr>
        <w:t xml:space="preserve">.  </w:t>
      </w:r>
    </w:p>
    <w:p w14:paraId="16E5D2D5" w14:textId="68A869D6" w:rsidR="006E35AE" w:rsidRPr="006E35AE" w:rsidRDefault="006E35AE" w:rsidP="006E35AE">
      <w:pPr>
        <w:widowControl w:val="0"/>
        <w:tabs>
          <w:tab w:val="left" w:pos="720"/>
        </w:tabs>
        <w:spacing w:line="480" w:lineRule="auto"/>
        <w:ind w:left="720" w:hanging="720"/>
        <w:jc w:val="both"/>
        <w:rPr>
          <w:rFonts w:eastAsia="Calibri"/>
          <w:snapToGrid w:val="0"/>
          <w:sz w:val="24"/>
          <w:szCs w:val="24"/>
        </w:rPr>
      </w:pPr>
      <w:r w:rsidRPr="006E35AE">
        <w:rPr>
          <w:rFonts w:eastAsia="Calibri"/>
          <w:sz w:val="24"/>
          <w:szCs w:val="24"/>
        </w:rPr>
        <w:t>A.</w:t>
      </w:r>
      <w:r w:rsidRPr="006E35AE">
        <w:rPr>
          <w:rFonts w:eastAsia="Calibri"/>
          <w:b/>
          <w:sz w:val="24"/>
          <w:szCs w:val="24"/>
        </w:rPr>
        <w:tab/>
      </w:r>
      <w:r w:rsidR="00F954F4">
        <w:rPr>
          <w:rFonts w:eastAsia="Calibri"/>
          <w:sz w:val="24"/>
          <w:szCs w:val="24"/>
        </w:rPr>
        <w:t xml:space="preserve">CenterPoint Houston negotiated terms related to:  (1) payment of invoiced amounts accrued and due during the pendency of the Bankrupt CR’s bankruptcy case; (2) replenishment of deposits for transition and/or securitization charges; and (3) use of excess deposits for transition and/or securitization charges to pay down invoiced amounts accrued and owed as of the Bankrupt CR’s bankruptcy filing.  </w:t>
      </w:r>
      <w:r w:rsidRPr="006E35AE">
        <w:rPr>
          <w:rFonts w:eastAsia="Calibri"/>
          <w:bCs/>
          <w:sz w:val="24"/>
          <w:szCs w:val="24"/>
        </w:rPr>
        <w:t xml:space="preserve">Some of the Bankrupt CRs operated as going concerns during the pendency of their respective bankruptcy cases while they worked to develop a bankruptcy plan </w:t>
      </w:r>
      <w:r w:rsidRPr="006E35AE">
        <w:rPr>
          <w:rFonts w:eastAsia="Calibri"/>
          <w:snapToGrid w:val="0"/>
          <w:sz w:val="24"/>
          <w:szCs w:val="24"/>
        </w:rPr>
        <w:t>of reorganization or plan of liquidation.  To ensure that such Bankrupt CRs paid post</w:t>
      </w:r>
      <w:r w:rsidR="004960F2">
        <w:rPr>
          <w:rFonts w:eastAsia="Calibri"/>
          <w:snapToGrid w:val="0"/>
          <w:sz w:val="24"/>
          <w:szCs w:val="24"/>
        </w:rPr>
        <w:noBreakHyphen/>
      </w:r>
      <w:r w:rsidRPr="006E35AE">
        <w:rPr>
          <w:rFonts w:eastAsia="Calibri"/>
          <w:snapToGrid w:val="0"/>
          <w:sz w:val="24"/>
          <w:szCs w:val="24"/>
        </w:rPr>
        <w:t>bankruptcy filing invoices, the Company negotiated payment terms to minimize the risk of non-payment from the Bankrupt CR.  The Company negotiated with two Bankrupt CRs for periodic pre-payments based on estimated usage.  Pre</w:t>
      </w:r>
      <w:r w:rsidR="004960F2">
        <w:rPr>
          <w:rFonts w:eastAsia="Calibri"/>
          <w:snapToGrid w:val="0"/>
          <w:sz w:val="24"/>
          <w:szCs w:val="24"/>
        </w:rPr>
        <w:noBreakHyphen/>
      </w:r>
      <w:r w:rsidRPr="006E35AE">
        <w:rPr>
          <w:rFonts w:eastAsia="Calibri"/>
          <w:snapToGrid w:val="0"/>
          <w:sz w:val="24"/>
          <w:szCs w:val="24"/>
        </w:rPr>
        <w:t>payments would be reconciled with actual usage, and the Bankrupt CR would receive a credit for an overpayment and would receive an invoice for an underpayment.</w:t>
      </w:r>
    </w:p>
    <w:p w14:paraId="09D5F8E5" w14:textId="77777777" w:rsidR="006E35AE" w:rsidRPr="00183989" w:rsidRDefault="006E35AE" w:rsidP="006E35AE">
      <w:pPr>
        <w:widowControl w:val="0"/>
        <w:tabs>
          <w:tab w:val="left" w:pos="720"/>
        </w:tabs>
        <w:spacing w:line="480" w:lineRule="auto"/>
        <w:ind w:left="720" w:hanging="720"/>
        <w:jc w:val="both"/>
        <w:rPr>
          <w:rFonts w:ascii="Times New Roman Bold" w:eastAsia="Calibri" w:hAnsi="Times New Roman Bold"/>
          <w:b/>
          <w:caps/>
          <w:sz w:val="24"/>
          <w:szCs w:val="24"/>
        </w:rPr>
      </w:pPr>
      <w:r w:rsidRPr="00183989">
        <w:rPr>
          <w:rFonts w:ascii="Times New Roman Bold" w:eastAsia="Calibri" w:hAnsi="Times New Roman Bold"/>
          <w:b/>
          <w:caps/>
          <w:sz w:val="24"/>
          <w:szCs w:val="24"/>
        </w:rPr>
        <w:t>Q.</w:t>
      </w:r>
      <w:r w:rsidRPr="00183989">
        <w:rPr>
          <w:rFonts w:ascii="Times New Roman Bold" w:eastAsia="Calibri" w:hAnsi="Times New Roman Bold"/>
          <w:b/>
          <w:caps/>
          <w:sz w:val="24"/>
          <w:szCs w:val="24"/>
        </w:rPr>
        <w:tab/>
        <w:t>WHAT WAS THE PURPOSE OF THE PRE-PAYMENT ARRANGEMENT?</w:t>
      </w:r>
    </w:p>
    <w:p w14:paraId="70BA0F8D" w14:textId="3093D6FF" w:rsidR="006E35AE" w:rsidRPr="006E35AE" w:rsidRDefault="006E35AE" w:rsidP="006E35AE">
      <w:pPr>
        <w:widowControl w:val="0"/>
        <w:tabs>
          <w:tab w:val="left" w:pos="720"/>
        </w:tabs>
        <w:spacing w:line="480" w:lineRule="auto"/>
        <w:ind w:left="720" w:hanging="720"/>
        <w:jc w:val="both"/>
        <w:rPr>
          <w:sz w:val="24"/>
          <w:szCs w:val="24"/>
        </w:rPr>
      </w:pPr>
      <w:r w:rsidRPr="00183989">
        <w:rPr>
          <w:rFonts w:eastAsia="Calibri"/>
          <w:sz w:val="24"/>
          <w:szCs w:val="24"/>
        </w:rPr>
        <w:t>A.</w:t>
      </w:r>
      <w:r w:rsidRPr="00183989">
        <w:rPr>
          <w:rFonts w:eastAsia="Calibri"/>
          <w:b/>
          <w:sz w:val="24"/>
          <w:szCs w:val="24"/>
        </w:rPr>
        <w:tab/>
      </w:r>
      <w:r w:rsidRPr="00183989">
        <w:rPr>
          <w:rFonts w:eastAsia="Calibri"/>
          <w:snapToGrid w:val="0"/>
          <w:sz w:val="24"/>
          <w:szCs w:val="24"/>
        </w:rPr>
        <w:t>The purpose of the pre-payment arrangement was to mitigate the risk of non</w:t>
      </w:r>
      <w:r w:rsidR="004960F2">
        <w:rPr>
          <w:rFonts w:eastAsia="Calibri"/>
          <w:snapToGrid w:val="0"/>
          <w:sz w:val="24"/>
          <w:szCs w:val="24"/>
        </w:rPr>
        <w:noBreakHyphen/>
      </w:r>
      <w:r w:rsidRPr="00183989">
        <w:rPr>
          <w:rFonts w:eastAsia="Calibri"/>
          <w:snapToGrid w:val="0"/>
          <w:sz w:val="24"/>
          <w:szCs w:val="24"/>
        </w:rPr>
        <w:t xml:space="preserve">payment of invoiced amounts accrued and due during the pendency of the Bankrupt CR’s bankruptcy case.  Normally, the Company provides a CR an invoice after the provision of service, and the CR has 35 days to pay the invoice.  For a CR that is in bankruptcy, there is a greater risk of non-payment of invoiced amounts </w:t>
      </w:r>
      <w:r w:rsidRPr="00183989">
        <w:rPr>
          <w:rFonts w:eastAsia="Calibri"/>
          <w:snapToGrid w:val="0"/>
          <w:sz w:val="24"/>
          <w:szCs w:val="24"/>
        </w:rPr>
        <w:lastRenderedPageBreak/>
        <w:t>accrued and due during the pendency of the Bankrupt CR’s bankruptcy case.  The pre-payment arrangement reduced the risk of non-payment by ensuring that the Bankrupt CR advance funds to the Company rather than have the Company wait for payment.</w:t>
      </w:r>
      <w:r w:rsidRPr="006E35AE">
        <w:rPr>
          <w:rFonts w:eastAsia="Calibri"/>
          <w:snapToGrid w:val="0"/>
          <w:sz w:val="24"/>
          <w:szCs w:val="24"/>
        </w:rPr>
        <w:t xml:space="preserve"> </w:t>
      </w:r>
    </w:p>
    <w:p w14:paraId="2CF3946D" w14:textId="52CAE51A" w:rsidR="006E35AE" w:rsidRPr="006E35AE" w:rsidRDefault="006E35AE" w:rsidP="002220E3">
      <w:pPr>
        <w:keepNext/>
        <w:keepLines/>
        <w:widowControl w:val="0"/>
        <w:spacing w:line="480" w:lineRule="auto"/>
        <w:ind w:left="720" w:hanging="720"/>
        <w:jc w:val="both"/>
        <w:rPr>
          <w:rFonts w:ascii="Times New Roman Bold" w:eastAsia="Calibri" w:hAnsi="Times New Roman Bold"/>
          <w:b/>
          <w:bCs/>
          <w:caps/>
          <w:sz w:val="24"/>
          <w:szCs w:val="24"/>
        </w:rPr>
      </w:pPr>
      <w:r w:rsidRPr="3E161B60">
        <w:rPr>
          <w:rFonts w:ascii="Times New Roman Bold" w:eastAsia="Calibri" w:hAnsi="Times New Roman Bold"/>
          <w:b/>
          <w:bCs/>
          <w:caps/>
          <w:sz w:val="24"/>
          <w:szCs w:val="24"/>
        </w:rPr>
        <w:t>Q.</w:t>
      </w:r>
      <w:r>
        <w:rPr>
          <w:rFonts w:eastAsia="Calibri"/>
        </w:rPr>
        <w:tab/>
      </w:r>
      <w:r w:rsidRPr="3E161B60">
        <w:rPr>
          <w:rFonts w:ascii="Times New Roman Bold" w:eastAsia="Calibri" w:hAnsi="Times New Roman Bold"/>
          <w:b/>
          <w:bCs/>
          <w:caps/>
          <w:sz w:val="24"/>
          <w:szCs w:val="24"/>
        </w:rPr>
        <w:t xml:space="preserve">WHAT OTHER TERMS DID THE </w:t>
      </w:r>
      <w:r w:rsidR="4C81B5FF" w:rsidRPr="3E161B60">
        <w:rPr>
          <w:rFonts w:ascii="Times New Roman Bold" w:eastAsia="Calibri" w:hAnsi="Times New Roman Bold"/>
          <w:b/>
          <w:bCs/>
          <w:caps/>
          <w:sz w:val="24"/>
          <w:szCs w:val="24"/>
        </w:rPr>
        <w:t>Company</w:t>
      </w:r>
      <w:r w:rsidRPr="3E161B60">
        <w:rPr>
          <w:rFonts w:ascii="Times New Roman Bold" w:eastAsia="Calibri" w:hAnsi="Times New Roman Bold"/>
          <w:b/>
          <w:bCs/>
          <w:caps/>
          <w:sz w:val="24"/>
          <w:szCs w:val="24"/>
        </w:rPr>
        <w:t xml:space="preserve"> NEGOTIATE WITH BANKRUPT CRS?</w:t>
      </w:r>
    </w:p>
    <w:p w14:paraId="1791EB59" w14:textId="77777777" w:rsidR="006E35AE" w:rsidRPr="006E35AE" w:rsidRDefault="006E35AE" w:rsidP="002220E3">
      <w:pPr>
        <w:keepNext/>
        <w:keepLines/>
        <w:widowControl w:val="0"/>
        <w:spacing w:line="480" w:lineRule="auto"/>
        <w:ind w:left="720" w:hanging="720"/>
        <w:jc w:val="both"/>
        <w:rPr>
          <w:rFonts w:eastAsia="Calibri"/>
          <w:snapToGrid w:val="0"/>
          <w:sz w:val="24"/>
          <w:szCs w:val="24"/>
        </w:rPr>
      </w:pPr>
      <w:r w:rsidRPr="006E35AE">
        <w:rPr>
          <w:rFonts w:eastAsia="Calibri"/>
          <w:sz w:val="24"/>
          <w:szCs w:val="24"/>
        </w:rPr>
        <w:t>A.</w:t>
      </w:r>
      <w:r w:rsidRPr="006E35AE">
        <w:rPr>
          <w:rFonts w:eastAsia="Calibri"/>
          <w:b/>
          <w:sz w:val="24"/>
          <w:szCs w:val="24"/>
        </w:rPr>
        <w:tab/>
      </w:r>
      <w:r w:rsidRPr="006E35AE">
        <w:rPr>
          <w:rFonts w:eastAsia="Calibri"/>
          <w:bCs/>
          <w:sz w:val="24"/>
          <w:szCs w:val="24"/>
        </w:rPr>
        <w:t>The Company also negotiated with certain Bankrupt CRs to replenish deposits related to transition and/or securitization charges.</w:t>
      </w:r>
    </w:p>
    <w:p w14:paraId="53FE6F53" w14:textId="77777777" w:rsidR="006E35AE" w:rsidRPr="006E35AE" w:rsidRDefault="006E35AE" w:rsidP="006E35AE">
      <w:pPr>
        <w:widowControl w:val="0"/>
        <w:tabs>
          <w:tab w:val="left" w:pos="720"/>
        </w:tabs>
        <w:spacing w:line="480" w:lineRule="auto"/>
        <w:ind w:left="720" w:hanging="720"/>
        <w:jc w:val="both"/>
        <w:rPr>
          <w:rFonts w:ascii="Times New Roman Bold" w:eastAsia="Calibri" w:hAnsi="Times New Roman Bold"/>
          <w:b/>
          <w:caps/>
          <w:sz w:val="24"/>
          <w:szCs w:val="24"/>
        </w:rPr>
      </w:pPr>
      <w:r w:rsidRPr="006E35AE">
        <w:rPr>
          <w:rFonts w:ascii="Times New Roman Bold" w:eastAsia="Calibri" w:hAnsi="Times New Roman Bold"/>
          <w:b/>
          <w:caps/>
          <w:sz w:val="24"/>
          <w:szCs w:val="24"/>
        </w:rPr>
        <w:t>Q.</w:t>
      </w:r>
      <w:r w:rsidRPr="006E35AE">
        <w:rPr>
          <w:rFonts w:ascii="Times New Roman Bold" w:eastAsia="Calibri" w:hAnsi="Times New Roman Bold"/>
          <w:b/>
          <w:caps/>
          <w:sz w:val="24"/>
          <w:szCs w:val="24"/>
        </w:rPr>
        <w:tab/>
        <w:t>WHAT WAS THE PURPOSE OF HAVING THE BANKRUPT CRS REPLENISH DEPOSITS?</w:t>
      </w:r>
    </w:p>
    <w:p w14:paraId="6301B39E" w14:textId="475F316E" w:rsidR="006E35AE" w:rsidRPr="006E35AE" w:rsidRDefault="006E35AE" w:rsidP="006E35AE">
      <w:pPr>
        <w:widowControl w:val="0"/>
        <w:tabs>
          <w:tab w:val="left" w:pos="720"/>
        </w:tabs>
        <w:spacing w:line="480" w:lineRule="auto"/>
        <w:ind w:left="720" w:hanging="720"/>
        <w:jc w:val="both"/>
        <w:rPr>
          <w:sz w:val="24"/>
          <w:szCs w:val="24"/>
        </w:rPr>
      </w:pPr>
      <w:r w:rsidRPr="006E35AE">
        <w:rPr>
          <w:rFonts w:eastAsia="Calibri"/>
          <w:sz w:val="24"/>
          <w:szCs w:val="24"/>
        </w:rPr>
        <w:t>A.</w:t>
      </w:r>
      <w:r w:rsidRPr="006E35AE">
        <w:rPr>
          <w:rFonts w:eastAsia="Calibri"/>
          <w:b/>
          <w:sz w:val="24"/>
          <w:szCs w:val="24"/>
        </w:rPr>
        <w:tab/>
      </w:r>
      <w:r w:rsidR="00F954F4">
        <w:rPr>
          <w:rFonts w:eastAsia="Calibri"/>
          <w:snapToGrid w:val="0"/>
          <w:sz w:val="24"/>
          <w:szCs w:val="24"/>
        </w:rPr>
        <w:t>CenterPoint Houston</w:t>
      </w:r>
      <w:r w:rsidRPr="006E35AE">
        <w:rPr>
          <w:rFonts w:eastAsia="Calibri"/>
          <w:snapToGrid w:val="0"/>
          <w:sz w:val="24"/>
          <w:szCs w:val="24"/>
        </w:rPr>
        <w:t xml:space="preserve"> is the servicer of transition and securitization bonds approved by the Commission.  A CR is required to provide a deposit for transition and securitization charges to ensure that there is collateral in the event that the CR is unable to pay transition and securitization charges.  Otherwise, any deficit in payment from the CR is uplifted to other CRs.  Requiring certain Bankrupt CRs to replenish deposits related to transition and/or securitization charges ensured that the Company, as servicer, could draw down on collateral in the event that the Bankrupt CRs were unable to pay transition and/or securitization charges that were assessed during the pendency of the Bankrupt CRs’ bankruptcy cases.  </w:t>
      </w:r>
    </w:p>
    <w:p w14:paraId="5354A6E3" w14:textId="77777777" w:rsidR="006E35AE" w:rsidRPr="006E35AE" w:rsidRDefault="006E35AE" w:rsidP="006E35AE">
      <w:pPr>
        <w:widowControl w:val="0"/>
        <w:spacing w:line="480" w:lineRule="auto"/>
        <w:ind w:left="720" w:hanging="720"/>
        <w:jc w:val="both"/>
        <w:rPr>
          <w:rFonts w:ascii="Times New Roman Bold" w:eastAsia="Calibri" w:hAnsi="Times New Roman Bold"/>
          <w:b/>
          <w:caps/>
          <w:sz w:val="24"/>
          <w:szCs w:val="24"/>
        </w:rPr>
      </w:pPr>
      <w:r w:rsidRPr="006E35AE">
        <w:rPr>
          <w:rFonts w:ascii="Times New Roman Bold" w:eastAsia="Calibri" w:hAnsi="Times New Roman Bold"/>
          <w:b/>
          <w:caps/>
          <w:sz w:val="24"/>
          <w:szCs w:val="24"/>
        </w:rPr>
        <w:t>Q.</w:t>
      </w:r>
      <w:r w:rsidRPr="006E35AE">
        <w:rPr>
          <w:rFonts w:ascii="Times New Roman Bold" w:eastAsia="Calibri" w:hAnsi="Times New Roman Bold"/>
          <w:b/>
          <w:caps/>
          <w:sz w:val="24"/>
          <w:szCs w:val="24"/>
        </w:rPr>
        <w:tab/>
        <w:t>ARE THERE OTHER TERMS RELATED TO DEPOSITS THAT WERE NEGOTIATED BY THE COMPANY?</w:t>
      </w:r>
    </w:p>
    <w:p w14:paraId="71934148" w14:textId="74599060" w:rsidR="006E35AE" w:rsidRPr="006E35AE" w:rsidRDefault="006E35AE" w:rsidP="006E35AE">
      <w:pPr>
        <w:widowControl w:val="0"/>
        <w:tabs>
          <w:tab w:val="left" w:pos="720"/>
        </w:tabs>
        <w:spacing w:line="480" w:lineRule="auto"/>
        <w:ind w:left="720" w:hanging="720"/>
        <w:jc w:val="both"/>
        <w:rPr>
          <w:rFonts w:eastAsia="Calibri"/>
          <w:bCs/>
          <w:sz w:val="24"/>
          <w:szCs w:val="24"/>
        </w:rPr>
      </w:pPr>
      <w:r w:rsidRPr="006E35AE">
        <w:rPr>
          <w:rFonts w:eastAsia="Calibri"/>
          <w:bCs/>
          <w:sz w:val="24"/>
          <w:szCs w:val="24"/>
        </w:rPr>
        <w:t>A</w:t>
      </w:r>
      <w:r w:rsidRPr="006E35AE">
        <w:rPr>
          <w:rFonts w:eastAsia="Calibri"/>
          <w:bCs/>
          <w:sz w:val="24"/>
          <w:szCs w:val="24"/>
        </w:rPr>
        <w:tab/>
        <w:t xml:space="preserve">Yes.  Each year </w:t>
      </w:r>
      <w:r w:rsidR="00F954F4">
        <w:rPr>
          <w:rFonts w:eastAsia="Calibri"/>
          <w:bCs/>
          <w:sz w:val="24"/>
          <w:szCs w:val="24"/>
        </w:rPr>
        <w:t>CenterPoint Houston</w:t>
      </w:r>
      <w:r w:rsidRPr="006E35AE">
        <w:rPr>
          <w:rFonts w:eastAsia="Calibri"/>
          <w:bCs/>
          <w:sz w:val="24"/>
          <w:szCs w:val="24"/>
        </w:rPr>
        <w:t xml:space="preserve">, as servicer of transition and securitization bonds approved by the Commission, </w:t>
      </w:r>
      <w:r w:rsidR="00E073A9">
        <w:rPr>
          <w:rFonts w:eastAsia="Calibri"/>
          <w:bCs/>
          <w:sz w:val="24"/>
          <w:szCs w:val="24"/>
        </w:rPr>
        <w:t xml:space="preserve">performs </w:t>
      </w:r>
      <w:r w:rsidRPr="006E35AE">
        <w:rPr>
          <w:rFonts w:eastAsia="Calibri"/>
          <w:bCs/>
          <w:sz w:val="24"/>
          <w:szCs w:val="24"/>
        </w:rPr>
        <w:t xml:space="preserve">a reconciliation for each CR on the </w:t>
      </w:r>
      <w:r w:rsidRPr="006E35AE">
        <w:rPr>
          <w:rFonts w:eastAsia="Calibri"/>
          <w:bCs/>
          <w:sz w:val="24"/>
          <w:szCs w:val="24"/>
        </w:rPr>
        <w:lastRenderedPageBreak/>
        <w:t xml:space="preserve">appropriate amount of deposit for transition and securitization charges for the upcoming year.  For a CR that needs to increase its deposit amount for the upcoming year, the Company will issue an invoice.  For a CR that is able to have a lower deposit amount for the upcoming year, the CR has an option of receiving the excess deposit amount or leaving the deposit amount as is.  For the Bankrupt CRs that had an excess deposit after the Company’s reconciliation, the Company was able to negotiate with the Bankrupt CR to apply the excess deposit to pay down </w:t>
      </w:r>
      <w:r w:rsidRPr="006E35AE">
        <w:rPr>
          <w:rFonts w:eastAsia="Calibri"/>
          <w:snapToGrid w:val="0"/>
          <w:sz w:val="24"/>
          <w:szCs w:val="24"/>
        </w:rPr>
        <w:t xml:space="preserve">invoiced amounts accrued and owed as of the Bankrupt CR’s bankruptcy filing.  </w:t>
      </w:r>
    </w:p>
    <w:p w14:paraId="393C59CC" w14:textId="77777777" w:rsidR="006E35AE" w:rsidRPr="006E35AE" w:rsidRDefault="006E35AE" w:rsidP="006E35AE">
      <w:pPr>
        <w:widowControl w:val="0"/>
        <w:spacing w:line="480" w:lineRule="auto"/>
        <w:ind w:left="720" w:hanging="720"/>
        <w:jc w:val="both"/>
        <w:rPr>
          <w:rFonts w:ascii="Times New Roman Bold" w:eastAsia="Calibri" w:hAnsi="Times New Roman Bold"/>
          <w:b/>
          <w:caps/>
          <w:sz w:val="24"/>
          <w:szCs w:val="24"/>
        </w:rPr>
      </w:pPr>
      <w:r w:rsidRPr="006E35AE">
        <w:rPr>
          <w:rFonts w:ascii="Times New Roman Bold" w:eastAsia="Calibri" w:hAnsi="Times New Roman Bold"/>
          <w:b/>
          <w:caps/>
          <w:sz w:val="24"/>
          <w:szCs w:val="24"/>
        </w:rPr>
        <w:t>Q.</w:t>
      </w:r>
      <w:r w:rsidRPr="006E35AE">
        <w:rPr>
          <w:rFonts w:ascii="Times New Roman Bold" w:eastAsia="Calibri" w:hAnsi="Times New Roman Bold"/>
          <w:b/>
          <w:caps/>
          <w:sz w:val="24"/>
          <w:szCs w:val="24"/>
        </w:rPr>
        <w:tab/>
        <w:t>WHAT EFFECT DID APPLYING EXCESS DEPOSITS TO INVOICED AMOUNTS ACCRUED AND OWED As of the bankrupt cr’s bankruptcy filing HAVE ON THE AMOUNT OWED BY THE BANKRUPT CR?</w:t>
      </w:r>
    </w:p>
    <w:p w14:paraId="5B4DBDA6" w14:textId="339C4687" w:rsidR="006E35AE" w:rsidRPr="006E35AE" w:rsidRDefault="006E35AE" w:rsidP="006E35AE">
      <w:pPr>
        <w:widowControl w:val="0"/>
        <w:tabs>
          <w:tab w:val="left" w:pos="720"/>
        </w:tabs>
        <w:spacing w:line="480" w:lineRule="auto"/>
        <w:ind w:left="720" w:hanging="720"/>
        <w:jc w:val="both"/>
        <w:rPr>
          <w:rFonts w:eastAsia="Calibri"/>
          <w:sz w:val="24"/>
          <w:szCs w:val="24"/>
        </w:rPr>
      </w:pPr>
      <w:r w:rsidRPr="1E8A8C27">
        <w:rPr>
          <w:rFonts w:eastAsia="Calibri"/>
          <w:sz w:val="24"/>
          <w:szCs w:val="24"/>
        </w:rPr>
        <w:t>A</w:t>
      </w:r>
      <w:r>
        <w:rPr>
          <w:rFonts w:eastAsia="Calibri"/>
        </w:rPr>
        <w:tab/>
      </w:r>
      <w:r w:rsidRPr="1E8A8C27">
        <w:rPr>
          <w:rFonts w:eastAsia="Calibri"/>
          <w:sz w:val="24"/>
          <w:szCs w:val="24"/>
        </w:rPr>
        <w:t>Applying excess deposits to invoiced amounts accrued and owed as of the Bankrupt CR’s bankruptcy filing reduced the amount owed by the Bankrupt CR</w:t>
      </w:r>
      <w:r w:rsidR="00F954F4">
        <w:rPr>
          <w:rFonts w:eastAsia="Calibri"/>
          <w:sz w:val="24"/>
          <w:szCs w:val="24"/>
        </w:rPr>
        <w:t xml:space="preserve"> to CenterPoint Houston</w:t>
      </w:r>
      <w:r w:rsidRPr="1E8A8C27">
        <w:rPr>
          <w:rFonts w:eastAsia="Calibri"/>
          <w:sz w:val="24"/>
          <w:szCs w:val="24"/>
        </w:rPr>
        <w:t>, which in turn reduced the bad debt regulatory asset that is being sought by the Company.  If excess deposits were not applied, the bad debt regulatory asset that is being sought by the Company would be a larger amount.</w:t>
      </w:r>
    </w:p>
    <w:p w14:paraId="507181A4" w14:textId="77777777" w:rsidR="006E35AE" w:rsidRPr="00183989" w:rsidRDefault="006E35AE" w:rsidP="006E35AE">
      <w:pPr>
        <w:widowControl w:val="0"/>
        <w:tabs>
          <w:tab w:val="left" w:pos="720"/>
        </w:tabs>
        <w:spacing w:line="480" w:lineRule="auto"/>
        <w:ind w:left="720" w:hanging="720"/>
        <w:jc w:val="both"/>
        <w:rPr>
          <w:rFonts w:ascii="Times New Roman Bold" w:eastAsia="Calibri" w:hAnsi="Times New Roman Bold"/>
          <w:b/>
          <w:caps/>
          <w:sz w:val="24"/>
          <w:szCs w:val="24"/>
        </w:rPr>
      </w:pPr>
      <w:r w:rsidRPr="00183989">
        <w:rPr>
          <w:rFonts w:ascii="Times New Roman Bold" w:eastAsia="Calibri" w:hAnsi="Times New Roman Bold"/>
          <w:b/>
          <w:caps/>
          <w:sz w:val="24"/>
          <w:szCs w:val="24"/>
        </w:rPr>
        <w:t>Q.</w:t>
      </w:r>
      <w:r w:rsidRPr="00183989">
        <w:rPr>
          <w:rFonts w:ascii="Times New Roman Bold" w:eastAsia="Calibri" w:hAnsi="Times New Roman Bold"/>
          <w:b/>
          <w:caps/>
          <w:sz w:val="24"/>
          <w:szCs w:val="24"/>
        </w:rPr>
        <w:tab/>
        <w:t>WHAT WERE THE RESULTS OF THE COMPANY’S INVOLVEMENT IN THE BANKRUPT CRS’ BANKRUPTCY CASES?</w:t>
      </w:r>
    </w:p>
    <w:p w14:paraId="2D873F7B" w14:textId="77777777" w:rsidR="006E35AE" w:rsidRPr="00183989" w:rsidRDefault="006E35AE" w:rsidP="006E35AE">
      <w:pPr>
        <w:widowControl w:val="0"/>
        <w:tabs>
          <w:tab w:val="left" w:pos="720"/>
        </w:tabs>
        <w:spacing w:line="480" w:lineRule="auto"/>
        <w:ind w:left="720" w:hanging="720"/>
        <w:jc w:val="both"/>
        <w:rPr>
          <w:rFonts w:eastAsia="Calibri"/>
          <w:snapToGrid w:val="0"/>
          <w:sz w:val="24"/>
          <w:szCs w:val="24"/>
        </w:rPr>
      </w:pPr>
      <w:r w:rsidRPr="00183989">
        <w:rPr>
          <w:rFonts w:eastAsia="Calibri"/>
          <w:sz w:val="24"/>
          <w:szCs w:val="24"/>
        </w:rPr>
        <w:t>A.</w:t>
      </w:r>
      <w:r w:rsidRPr="00183989">
        <w:rPr>
          <w:rFonts w:eastAsia="Calibri"/>
          <w:b/>
          <w:sz w:val="24"/>
          <w:szCs w:val="24"/>
        </w:rPr>
        <w:tab/>
      </w:r>
      <w:r w:rsidRPr="00183989">
        <w:rPr>
          <w:rFonts w:eastAsia="Calibri"/>
          <w:bCs/>
          <w:sz w:val="24"/>
          <w:szCs w:val="24"/>
        </w:rPr>
        <w:t>In sum</w:t>
      </w:r>
      <w:r w:rsidRPr="00183989">
        <w:rPr>
          <w:rFonts w:eastAsia="Calibri"/>
          <w:bCs/>
          <w:snapToGrid w:val="0"/>
          <w:sz w:val="24"/>
          <w:szCs w:val="24"/>
        </w:rPr>
        <w:t>, the</w:t>
      </w:r>
      <w:r w:rsidRPr="00183989">
        <w:rPr>
          <w:rFonts w:eastAsia="Calibri"/>
          <w:snapToGrid w:val="0"/>
          <w:sz w:val="24"/>
          <w:szCs w:val="24"/>
        </w:rPr>
        <w:t xml:space="preserve"> Company’s involvement in the Bankrupt CRs’ respective bankruptcy cases:</w:t>
      </w:r>
    </w:p>
    <w:p w14:paraId="389B0F6D" w14:textId="77777777" w:rsidR="006E35AE" w:rsidRPr="00A45675" w:rsidRDefault="006E35AE" w:rsidP="00F113E1">
      <w:pPr>
        <w:widowControl w:val="0"/>
        <w:numPr>
          <w:ilvl w:val="0"/>
          <w:numId w:val="5"/>
        </w:numPr>
        <w:tabs>
          <w:tab w:val="left" w:pos="720"/>
        </w:tabs>
        <w:spacing w:line="480" w:lineRule="auto"/>
        <w:jc w:val="both"/>
        <w:rPr>
          <w:rFonts w:eastAsia="Calibri"/>
          <w:snapToGrid w:val="0"/>
          <w:sz w:val="24"/>
          <w:szCs w:val="24"/>
        </w:rPr>
      </w:pPr>
      <w:r w:rsidRPr="00A45675">
        <w:rPr>
          <w:rFonts w:eastAsia="Calibri"/>
          <w:snapToGrid w:val="0"/>
          <w:sz w:val="24"/>
          <w:szCs w:val="24"/>
        </w:rPr>
        <w:t>Reduced the risk of non-payment of invoiced amounts accrued and due during the pendency of a Bankrupt CR’s bankruptcy case;</w:t>
      </w:r>
    </w:p>
    <w:p w14:paraId="3B7AE975" w14:textId="77777777" w:rsidR="00A45675" w:rsidRPr="00A45675" w:rsidRDefault="55031708" w:rsidP="00F113E1">
      <w:pPr>
        <w:widowControl w:val="0"/>
        <w:numPr>
          <w:ilvl w:val="0"/>
          <w:numId w:val="5"/>
        </w:numPr>
        <w:spacing w:line="480" w:lineRule="auto"/>
        <w:jc w:val="both"/>
        <w:rPr>
          <w:sz w:val="24"/>
          <w:szCs w:val="24"/>
        </w:rPr>
      </w:pPr>
      <w:r w:rsidRPr="00A45675">
        <w:rPr>
          <w:rFonts w:eastAsia="Calibri"/>
          <w:sz w:val="24"/>
          <w:szCs w:val="24"/>
        </w:rPr>
        <w:lastRenderedPageBreak/>
        <w:t xml:space="preserve"> Reduced the amount sought by the Company in the bad debt regulatory asset.  Collectively, the Bankrupt CRs owed the Company approximately $14.5 million.  </w:t>
      </w:r>
    </w:p>
    <w:p w14:paraId="028C03FF" w14:textId="19CF2995" w:rsidR="1E8A8C27" w:rsidRDefault="55031708" w:rsidP="00A45675">
      <w:pPr>
        <w:widowControl w:val="0"/>
        <w:spacing w:line="480" w:lineRule="auto"/>
        <w:ind w:left="720" w:firstLine="720"/>
        <w:jc w:val="both"/>
      </w:pPr>
      <w:r w:rsidRPr="00183989">
        <w:rPr>
          <w:rFonts w:eastAsia="Calibri"/>
          <w:sz w:val="24"/>
          <w:szCs w:val="24"/>
        </w:rPr>
        <w:t xml:space="preserve">As a result of the Company’s involvement in the Bankrupt CRs’ respective bankruptcy cases, </w:t>
      </w:r>
      <w:r w:rsidR="708B2F2F" w:rsidRPr="00183989">
        <w:rPr>
          <w:rFonts w:eastAsia="Calibri"/>
          <w:sz w:val="24"/>
          <w:szCs w:val="24"/>
        </w:rPr>
        <w:t xml:space="preserve">the Company booked </w:t>
      </w:r>
      <w:r w:rsidRPr="00183989">
        <w:rPr>
          <w:rFonts w:eastAsia="Calibri"/>
          <w:sz w:val="24"/>
          <w:szCs w:val="24"/>
        </w:rPr>
        <w:t xml:space="preserve">approximately $7.8 million of bad debt </w:t>
      </w:r>
      <w:r w:rsidR="181D9F7F" w:rsidRPr="00183989">
        <w:rPr>
          <w:rFonts w:eastAsia="Calibri"/>
          <w:sz w:val="24"/>
          <w:szCs w:val="24"/>
        </w:rPr>
        <w:t xml:space="preserve">to the </w:t>
      </w:r>
      <w:r w:rsidRPr="00183989">
        <w:rPr>
          <w:rFonts w:eastAsia="Calibri"/>
          <w:sz w:val="24"/>
          <w:szCs w:val="24"/>
        </w:rPr>
        <w:t xml:space="preserve">regulatory asset that the Company is seeking.  </w:t>
      </w:r>
    </w:p>
    <w:p w14:paraId="1EB96939" w14:textId="79B0828C" w:rsidR="006C24CF" w:rsidRPr="00A45675" w:rsidRDefault="006C24CF" w:rsidP="006C24CF">
      <w:pPr>
        <w:pStyle w:val="CROutline1"/>
        <w:ind w:left="720" w:hanging="720"/>
        <w:rPr>
          <w:caps/>
        </w:rPr>
      </w:pPr>
      <w:bookmarkStart w:id="24" w:name="_Toc159491396"/>
      <w:r w:rsidRPr="00A45675">
        <w:rPr>
          <w:caps/>
        </w:rPr>
        <w:t>Conclusion</w:t>
      </w:r>
      <w:bookmarkEnd w:id="24"/>
    </w:p>
    <w:p w14:paraId="2117F3D4" w14:textId="04D9C1E5" w:rsidR="006A052F" w:rsidRPr="006C24CF" w:rsidRDefault="00236912" w:rsidP="006A052F">
      <w:pPr>
        <w:spacing w:line="480" w:lineRule="auto"/>
        <w:rPr>
          <w:rFonts w:ascii="Times New Roman Bold" w:hAnsi="Times New Roman Bold"/>
          <w:b/>
          <w:caps/>
          <w:sz w:val="24"/>
          <w:szCs w:val="24"/>
        </w:rPr>
      </w:pPr>
      <w:r w:rsidRPr="00922212">
        <w:rPr>
          <w:b/>
          <w:sz w:val="24"/>
          <w:szCs w:val="24"/>
        </w:rPr>
        <w:t xml:space="preserve">Q. </w:t>
      </w:r>
      <w:r w:rsidRPr="00922212">
        <w:rPr>
          <w:b/>
          <w:sz w:val="24"/>
          <w:szCs w:val="24"/>
        </w:rPr>
        <w:tab/>
      </w:r>
      <w:r w:rsidR="006C24CF" w:rsidRPr="006C24CF">
        <w:rPr>
          <w:rFonts w:ascii="Times New Roman Bold" w:hAnsi="Times New Roman Bold"/>
          <w:b/>
          <w:caps/>
          <w:sz w:val="24"/>
          <w:szCs w:val="24"/>
        </w:rPr>
        <w:t>Does this conclude your testimony?</w:t>
      </w:r>
    </w:p>
    <w:p w14:paraId="2EF1C629" w14:textId="459ED6D8" w:rsidR="008C7BD6" w:rsidRPr="00922212" w:rsidRDefault="006A052F" w:rsidP="006A052F">
      <w:pPr>
        <w:spacing w:line="480" w:lineRule="auto"/>
        <w:rPr>
          <w:b/>
          <w:sz w:val="24"/>
          <w:szCs w:val="24"/>
        </w:rPr>
      </w:pPr>
      <w:r w:rsidRPr="00675E2F">
        <w:rPr>
          <w:bCs/>
          <w:sz w:val="24"/>
          <w:szCs w:val="24"/>
        </w:rPr>
        <w:t>A.</w:t>
      </w:r>
      <w:r>
        <w:rPr>
          <w:b/>
          <w:sz w:val="24"/>
          <w:szCs w:val="24"/>
        </w:rPr>
        <w:tab/>
      </w:r>
      <w:r w:rsidR="006C24CF">
        <w:rPr>
          <w:sz w:val="24"/>
          <w:szCs w:val="24"/>
        </w:rPr>
        <w:t>Yes.</w:t>
      </w:r>
    </w:p>
    <w:sectPr w:rsidR="008C7BD6" w:rsidRPr="00922212" w:rsidSect="002206BB">
      <w:headerReference w:type="default" r:id="rId15"/>
      <w:pgSz w:w="12240" w:h="15840"/>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723DB" w14:textId="77777777" w:rsidR="00385010" w:rsidRDefault="00385010" w:rsidP="008C7BD6">
      <w:r>
        <w:separator/>
      </w:r>
    </w:p>
  </w:endnote>
  <w:endnote w:type="continuationSeparator" w:id="0">
    <w:p w14:paraId="3DD006A1" w14:textId="77777777" w:rsidR="00385010" w:rsidRDefault="00385010" w:rsidP="008C7BD6">
      <w:r>
        <w:continuationSeparator/>
      </w:r>
    </w:p>
  </w:endnote>
  <w:endnote w:type="continuationNotice" w:id="1">
    <w:p w14:paraId="0D01FDB3" w14:textId="77777777" w:rsidR="00385010" w:rsidRDefault="00385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0353131"/>
      <w:docPartObj>
        <w:docPartGallery w:val="Page Numbers (Bottom of Page)"/>
        <w:docPartUnique/>
      </w:docPartObj>
    </w:sdtPr>
    <w:sdtEndPr>
      <w:rPr>
        <w:noProof/>
      </w:rPr>
    </w:sdtEndPr>
    <w:sdtContent>
      <w:p w14:paraId="2B8493A1" w14:textId="45F1218B" w:rsidR="00400CEB" w:rsidRDefault="00657353">
        <w:pPr>
          <w:pStyle w:val="Footer"/>
          <w:jc w:val="center"/>
        </w:pPr>
      </w:p>
    </w:sdtContent>
  </w:sdt>
  <w:p w14:paraId="2329C9C0" w14:textId="77777777" w:rsidR="00A23F3E" w:rsidRDefault="00A23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5DE5" w14:textId="755844F4" w:rsidR="00F21B36" w:rsidRDefault="00F21B36" w:rsidP="00FC14D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1FF7A" w14:textId="77777777" w:rsidR="00C2717E" w:rsidRDefault="00C2717E" w:rsidP="009E537D">
    <w:pPr>
      <w:pStyle w:val="Header"/>
      <w:jc w:val="center"/>
      <w:rPr>
        <w:b/>
        <w:color w:val="000000"/>
      </w:rPr>
    </w:pPr>
  </w:p>
  <w:p w14:paraId="5D22A277" w14:textId="5797915A" w:rsidR="00A23F3E" w:rsidRPr="00A95D46" w:rsidRDefault="00A23F3E" w:rsidP="009E537D">
    <w:pPr>
      <w:pStyle w:val="Header"/>
      <w:jc w:val="center"/>
      <w:rPr>
        <w:b/>
        <w:color w:val="000000"/>
      </w:rPr>
    </w:pPr>
    <w:r w:rsidRPr="00A95D46">
      <w:rPr>
        <w:b/>
        <w:color w:val="000000"/>
      </w:rPr>
      <w:t>Direct</w:t>
    </w:r>
    <w:r>
      <w:rPr>
        <w:b/>
        <w:color w:val="000000"/>
      </w:rPr>
      <w:t xml:space="preserve"> Testimony of </w:t>
    </w:r>
    <w:r w:rsidR="008368E5">
      <w:rPr>
        <w:b/>
        <w:color w:val="000000"/>
      </w:rPr>
      <w:t>John R. Hudson</w:t>
    </w:r>
    <w:r w:rsidR="00B66E85">
      <w:rPr>
        <w:b/>
        <w:color w:val="000000"/>
      </w:rPr>
      <w:t xml:space="preserve"> III</w:t>
    </w:r>
  </w:p>
  <w:p w14:paraId="14BFA372" w14:textId="77777777" w:rsidR="00A23F3E" w:rsidRDefault="00A23F3E" w:rsidP="009E537D">
    <w:pPr>
      <w:autoSpaceDE w:val="0"/>
      <w:autoSpaceDN w:val="0"/>
      <w:adjustRightInd w:val="0"/>
      <w:spacing w:line="240" w:lineRule="atLeast"/>
      <w:jc w:val="center"/>
      <w:rPr>
        <w:b/>
        <w:color w:val="000000"/>
      </w:rPr>
    </w:pPr>
    <w:r w:rsidRPr="00A95D46">
      <w:rPr>
        <w:b/>
        <w:color w:val="000000"/>
      </w:rPr>
      <w:t xml:space="preserve">CenterPoint Energy </w:t>
    </w:r>
    <w:r>
      <w:rPr>
        <w:b/>
        <w:color w:val="000000"/>
      </w:rPr>
      <w:t>Houston Electric, LLC</w:t>
    </w:r>
  </w:p>
  <w:p w14:paraId="16EE1BB1" w14:textId="77777777" w:rsidR="00A23F3E" w:rsidRDefault="00A23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B1543" w14:textId="77777777" w:rsidR="00385010" w:rsidRDefault="00385010" w:rsidP="008C7BD6">
      <w:r>
        <w:separator/>
      </w:r>
    </w:p>
  </w:footnote>
  <w:footnote w:type="continuationSeparator" w:id="0">
    <w:p w14:paraId="77495C46" w14:textId="77777777" w:rsidR="00385010" w:rsidRDefault="00385010" w:rsidP="008C7BD6">
      <w:r>
        <w:continuationSeparator/>
      </w:r>
    </w:p>
  </w:footnote>
  <w:footnote w:type="continuationNotice" w:id="1">
    <w:p w14:paraId="6450A291" w14:textId="77777777" w:rsidR="00385010" w:rsidRDefault="00385010"/>
  </w:footnote>
  <w:footnote w:id="2">
    <w:p w14:paraId="22848314" w14:textId="6399B2AC" w:rsidR="002F3B6A" w:rsidRDefault="002F3B6A" w:rsidP="00A70C9B">
      <w:pPr>
        <w:pStyle w:val="FootnoteText"/>
        <w:spacing w:after="120"/>
        <w:ind w:firstLine="720"/>
      </w:pPr>
      <w:r>
        <w:rPr>
          <w:rStyle w:val="FootnoteReference"/>
        </w:rPr>
        <w:footnoteRef/>
      </w:r>
      <w:r w:rsidR="004C4FDF">
        <w:t xml:space="preserve">  </w:t>
      </w:r>
      <w:r w:rsidR="001C4333" w:rsidRPr="006C24CF">
        <w:t xml:space="preserve">The MarkeTrak tool is a web-based database application used to track, manage and store data utilized by ERCOT and the market participants.  Several of the functional groups within Market Operations use MarkeTrak to track and resolve certain types of retail market transaction issues and data discrepancies, including usage and billing issues, CR of Record discrepancies, and missing transactions, among others.  CenterPoint Houston resolved </w:t>
      </w:r>
      <w:r w:rsidR="00631828">
        <w:t>60,228</w:t>
      </w:r>
      <w:r w:rsidR="001C4333" w:rsidRPr="006C24CF">
        <w:t xml:space="preserve"> issues in MarkeTrak during the Test Year.</w:t>
      </w:r>
      <w:r>
        <w:t xml:space="preserve"> </w:t>
      </w:r>
    </w:p>
  </w:footnote>
  <w:footnote w:id="3">
    <w:p w14:paraId="29D2A95D" w14:textId="6F04C6C7" w:rsidR="009563D1" w:rsidRDefault="009563D1" w:rsidP="00A70C9B">
      <w:pPr>
        <w:pStyle w:val="FootnoteText"/>
        <w:spacing w:after="120"/>
        <w:ind w:firstLine="720"/>
      </w:pPr>
      <w:r>
        <w:rPr>
          <w:rStyle w:val="FootnoteReference"/>
        </w:rPr>
        <w:footnoteRef/>
      </w:r>
      <w:r>
        <w:t xml:space="preserve">  </w:t>
      </w:r>
      <w:r w:rsidRPr="00AC5E5A">
        <w:rPr>
          <w:i/>
        </w:rPr>
        <w:t>Application of CenterPoint Energy Houston Electric, LLC for the Final Reconciliation of Advanced Metering Costs</w:t>
      </w:r>
      <w:r>
        <w:t>, Docket No. 47364, Final Order (Dec. 14, 2017).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49B4" w14:textId="77777777" w:rsidR="00A23F3E" w:rsidRPr="00795EC0" w:rsidRDefault="00A23F3E" w:rsidP="000B3245">
    <w:pPr>
      <w:pStyle w:val="Header"/>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2B6A4" w14:textId="77777777" w:rsidR="00A23F3E" w:rsidRDefault="00A23F3E" w:rsidP="000B3245">
    <w:pPr>
      <w:pStyle w:val="Header"/>
      <w:jc w:val="right"/>
    </w:pPr>
    <w:r>
      <w:t>KCG-Testimony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7DF1E" w14:textId="77777777" w:rsidR="00A23F3E" w:rsidRPr="00286EE7" w:rsidRDefault="00A23F3E" w:rsidP="00286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4FF99" w14:textId="77777777" w:rsidR="00286EE7" w:rsidRPr="00CC52C6" w:rsidRDefault="00286EE7" w:rsidP="00CC52C6">
    <w:pPr>
      <w:pStyle w:val="Header"/>
      <w:jc w:val="right"/>
      <w:rPr>
        <w:sz w:val="24"/>
        <w:szCs w:val="24"/>
      </w:rPr>
    </w:pPr>
    <w:r>
      <w:rPr>
        <w:sz w:val="24"/>
        <w:szCs w:val="24"/>
      </w:rPr>
      <w:t>ES-1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26BF38F5" w14:textId="3C9F42DC" w:rsidR="00E7582F" w:rsidRPr="0076197E" w:rsidRDefault="00E7582F">
        <w:pPr>
          <w:pStyle w:val="Header"/>
          <w:jc w:val="right"/>
        </w:pPr>
        <w:r w:rsidRPr="0076197E">
          <w:t xml:space="preserve">Page </w:t>
        </w:r>
        <w:r w:rsidRPr="0076197E">
          <w:rPr>
            <w:sz w:val="24"/>
            <w:szCs w:val="24"/>
          </w:rPr>
          <w:fldChar w:fldCharType="begin"/>
        </w:r>
        <w:r w:rsidRPr="0076197E">
          <w:instrText xml:space="preserve"> PAGE </w:instrText>
        </w:r>
        <w:r w:rsidRPr="0076197E">
          <w:rPr>
            <w:sz w:val="24"/>
            <w:szCs w:val="24"/>
          </w:rPr>
          <w:fldChar w:fldCharType="separate"/>
        </w:r>
        <w:r w:rsidRPr="0076197E">
          <w:rPr>
            <w:noProof/>
          </w:rPr>
          <w:t>2</w:t>
        </w:r>
        <w:r w:rsidRPr="0076197E">
          <w:rPr>
            <w:sz w:val="24"/>
            <w:szCs w:val="24"/>
          </w:rPr>
          <w:fldChar w:fldCharType="end"/>
        </w:r>
        <w:r w:rsidRPr="0076197E">
          <w:t xml:space="preserve"> of </w:t>
        </w:r>
        <w:r w:rsidR="00657353">
          <w:fldChar w:fldCharType="begin"/>
        </w:r>
        <w:r w:rsidR="00657353">
          <w:instrText xml:space="preserve"> SECTIONPAGES </w:instrText>
        </w:r>
        <w:r w:rsidR="00657353">
          <w:fldChar w:fldCharType="separate"/>
        </w:r>
        <w:r w:rsidR="00657353">
          <w:rPr>
            <w:noProof/>
          </w:rPr>
          <w:t>31</w:t>
        </w:r>
        <w:r w:rsidR="00657353">
          <w:rPr>
            <w:noProof/>
          </w:rPr>
          <w:fldChar w:fldCharType="end"/>
        </w:r>
      </w:p>
    </w:sdtContent>
  </w:sdt>
  <w:p w14:paraId="3BC54053" w14:textId="7200E0DB" w:rsidR="00286EE7" w:rsidRPr="00CC52C6" w:rsidRDefault="00286EE7" w:rsidP="00CC52C6">
    <w:pPr>
      <w:pStyle w:val="Header"/>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6094D"/>
    <w:multiLevelType w:val="hybridMultilevel"/>
    <w:tmpl w:val="23F0FC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A5CD3"/>
    <w:multiLevelType w:val="hybridMultilevel"/>
    <w:tmpl w:val="A132A9E8"/>
    <w:lvl w:ilvl="0" w:tplc="52A04098">
      <w:start w:val="1"/>
      <w:numFmt w:val="decimal"/>
      <w:lvlRestart w:val="0"/>
      <w:lvlText w:val="%1."/>
      <w:lvlJc w:val="left"/>
      <w:pPr>
        <w:ind w:left="1440" w:hanging="360"/>
      </w:pPr>
    </w:lvl>
    <w:lvl w:ilvl="1" w:tplc="FFFFFFF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194AF2"/>
    <w:multiLevelType w:val="multilevel"/>
    <w:tmpl w:val="14B26E2A"/>
    <w:lvl w:ilvl="0">
      <w:start w:val="2"/>
      <w:numFmt w:val="upperLetter"/>
      <w:lvlText w:val="%1."/>
      <w:lvlJc w:val="left"/>
      <w:pPr>
        <w:ind w:left="360" w:hanging="360"/>
      </w:pPr>
      <w:rPr>
        <w:rFonts w:hint="default"/>
        <w:b/>
        <w:bCs w:val="0"/>
        <w:i w:val="0"/>
        <w:iCs w:val="0"/>
        <w:caps w:val="0"/>
        <w:smallCaps w:val="0"/>
        <w:strike w:val="0"/>
        <w:dstrike w:val="0"/>
        <w:vanish w:val="0"/>
        <w:color w:val="000000" w:themeColor="text1"/>
        <w:spacing w:val="0"/>
        <w:kern w:val="0"/>
        <w:position w:val="0"/>
        <w:sz w:val="24"/>
        <w:u w:val="none"/>
        <w:effect w:val="none"/>
        <w:vertAlign w:val="baseline"/>
        <w:em w:val="none"/>
        <w14:ligatures w14:val="none"/>
        <w14:numForm w14:val="default"/>
        <w14:numSpacing w14:val="default"/>
        <w14:stylisticSets/>
        <w14:cntxtAlts w14:val="0"/>
      </w:rPr>
    </w:lvl>
    <w:lvl w:ilvl="1">
      <w:start w:val="3"/>
      <w:numFmt w:val="upperLetter"/>
      <w:lvlText w:val="%2."/>
      <w:lvlJc w:val="left"/>
      <w:pPr>
        <w:ind w:left="360" w:hanging="360"/>
      </w:pPr>
      <w:rPr>
        <w:rFonts w:hint="default"/>
      </w:rPr>
    </w:lvl>
    <w:lvl w:ilvl="2">
      <w:start w:val="1"/>
      <w:numFmt w:val="decimal"/>
      <w:lvlText w:val="%3."/>
      <w:lvlJc w:val="left"/>
      <w:pPr>
        <w:ind w:left="0" w:firstLine="0"/>
      </w:pPr>
      <w:rPr>
        <w:rFonts w:ascii="Times New Roman" w:hAnsi="Times New Roman" w:cs="Times New Roman" w:hint="default"/>
        <w:bCs w:val="0"/>
        <w:i w:val="0"/>
        <w:iCs w:val="0"/>
        <w:caps w:val="0"/>
        <w:smallCaps w:val="0"/>
        <w:strike w:val="0"/>
        <w:dstrike w:val="0"/>
        <w:snapToGrid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Letter"/>
      <w:lvlText w:val="%4."/>
      <w:lvlJc w:val="left"/>
      <w:pPr>
        <w:tabs>
          <w:tab w:val="num" w:pos="972"/>
        </w:tabs>
        <w:ind w:left="3132" w:hanging="720"/>
      </w:pPr>
      <w:rPr>
        <w:rFonts w:hint="default"/>
      </w:rPr>
    </w:lvl>
    <w:lvl w:ilvl="4">
      <w:start w:val="1"/>
      <w:numFmt w:val="decimal"/>
      <w:lvlText w:val="(%5)"/>
      <w:lvlJc w:val="left"/>
      <w:pPr>
        <w:tabs>
          <w:tab w:val="num" w:pos="972"/>
        </w:tabs>
        <w:ind w:left="3852" w:hanging="720"/>
      </w:pPr>
      <w:rPr>
        <w:rFonts w:hint="default"/>
      </w:rPr>
    </w:lvl>
    <w:lvl w:ilvl="5">
      <w:start w:val="1"/>
      <w:numFmt w:val="lowerLetter"/>
      <w:lvlText w:val="(%6)"/>
      <w:lvlJc w:val="left"/>
      <w:pPr>
        <w:tabs>
          <w:tab w:val="num" w:pos="972"/>
        </w:tabs>
        <w:ind w:left="4572" w:hanging="720"/>
      </w:pPr>
      <w:rPr>
        <w:rFonts w:hint="default"/>
      </w:rPr>
    </w:lvl>
    <w:lvl w:ilvl="6">
      <w:start w:val="1"/>
      <w:numFmt w:val="lowerRoman"/>
      <w:lvlText w:val="%7)"/>
      <w:lvlJc w:val="left"/>
      <w:pPr>
        <w:tabs>
          <w:tab w:val="num" w:pos="972"/>
        </w:tabs>
        <w:ind w:left="5292" w:hanging="720"/>
      </w:pPr>
      <w:rPr>
        <w:rFonts w:hint="default"/>
      </w:rPr>
    </w:lvl>
    <w:lvl w:ilvl="7">
      <w:start w:val="1"/>
      <w:numFmt w:val="lowerLetter"/>
      <w:lvlText w:val="%8)"/>
      <w:lvlJc w:val="left"/>
      <w:pPr>
        <w:tabs>
          <w:tab w:val="num" w:pos="972"/>
        </w:tabs>
        <w:ind w:left="6012" w:hanging="720"/>
      </w:pPr>
      <w:rPr>
        <w:rFonts w:hint="default"/>
      </w:rPr>
    </w:lvl>
    <w:lvl w:ilvl="8">
      <w:start w:val="1"/>
      <w:numFmt w:val="decimal"/>
      <w:lvlText w:val="%9)"/>
      <w:lvlJc w:val="left"/>
      <w:pPr>
        <w:tabs>
          <w:tab w:val="num" w:pos="972"/>
        </w:tabs>
        <w:ind w:left="6732" w:hanging="720"/>
      </w:pPr>
      <w:rPr>
        <w:rFonts w:hint="default"/>
      </w:rPr>
    </w:lvl>
  </w:abstractNum>
  <w:abstractNum w:abstractNumId="3" w15:restartNumberingAfterBreak="0">
    <w:nsid w:val="3AE10427"/>
    <w:multiLevelType w:val="multilevel"/>
    <w:tmpl w:val="3664E8D6"/>
    <w:lvl w:ilvl="0">
      <w:start w:val="1"/>
      <w:numFmt w:val="upperRoman"/>
      <w:pStyle w:val="CROutline1"/>
      <w:lvlText w:val="%1."/>
      <w:lvlJc w:val="left"/>
      <w:pPr>
        <w:ind w:left="360" w:hanging="360"/>
      </w:pPr>
      <w:rPr>
        <w:rFonts w:ascii="Times New Roman Bold" w:hAnsi="Times New Roman Bold" w:hint="default"/>
        <w:b/>
        <w:bCs w:val="0"/>
        <w:i w:val="0"/>
        <w:iCs w:val="0"/>
        <w:caps w:val="0"/>
        <w:smallCaps w:val="0"/>
        <w:strike w:val="0"/>
        <w:dstrike w:val="0"/>
        <w:noProof w:val="0"/>
        <w:vanish w:val="0"/>
        <w:color w:val="000000" w:themeColor="text1"/>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360" w:hanging="360"/>
      </w:pPr>
    </w:lvl>
    <w:lvl w:ilvl="2">
      <w:start w:val="1"/>
      <w:numFmt w:val="decimal"/>
      <w:pStyle w:val="CROutline3"/>
      <w:lvlText w:val="%3."/>
      <w:lvlJc w:val="left"/>
      <w:pPr>
        <w:ind w:left="0" w:firstLine="0"/>
      </w:pPr>
      <w:rPr>
        <w:rFonts w:ascii="Times New Roman" w:hAnsi="Times New Roman" w:cs="Times New Roman" w:hint="default"/>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CROutline4"/>
      <w:lvlText w:val="%4."/>
      <w:lvlJc w:val="left"/>
      <w:pPr>
        <w:tabs>
          <w:tab w:val="num" w:pos="972"/>
        </w:tabs>
        <w:ind w:left="3132" w:hanging="720"/>
      </w:pPr>
      <w:rPr>
        <w:rFonts w:hint="default"/>
      </w:rPr>
    </w:lvl>
    <w:lvl w:ilvl="4">
      <w:start w:val="1"/>
      <w:numFmt w:val="decimal"/>
      <w:pStyle w:val="CROutline5"/>
      <w:lvlText w:val="(%5)"/>
      <w:lvlJc w:val="left"/>
      <w:pPr>
        <w:tabs>
          <w:tab w:val="num" w:pos="972"/>
        </w:tabs>
        <w:ind w:left="3852" w:hanging="720"/>
      </w:pPr>
      <w:rPr>
        <w:rFonts w:hint="default"/>
      </w:rPr>
    </w:lvl>
    <w:lvl w:ilvl="5">
      <w:start w:val="1"/>
      <w:numFmt w:val="lowerLetter"/>
      <w:pStyle w:val="CROutline6"/>
      <w:lvlText w:val="(%6)"/>
      <w:lvlJc w:val="left"/>
      <w:pPr>
        <w:tabs>
          <w:tab w:val="num" w:pos="972"/>
        </w:tabs>
        <w:ind w:left="4572" w:hanging="720"/>
      </w:pPr>
      <w:rPr>
        <w:rFonts w:hint="default"/>
      </w:rPr>
    </w:lvl>
    <w:lvl w:ilvl="6">
      <w:start w:val="1"/>
      <w:numFmt w:val="lowerRoman"/>
      <w:pStyle w:val="CROutline7"/>
      <w:lvlText w:val="%7)"/>
      <w:lvlJc w:val="left"/>
      <w:pPr>
        <w:tabs>
          <w:tab w:val="num" w:pos="972"/>
        </w:tabs>
        <w:ind w:left="5292" w:hanging="720"/>
      </w:pPr>
      <w:rPr>
        <w:rFonts w:hint="default"/>
      </w:rPr>
    </w:lvl>
    <w:lvl w:ilvl="7">
      <w:start w:val="1"/>
      <w:numFmt w:val="lowerLetter"/>
      <w:pStyle w:val="CROutline8"/>
      <w:lvlText w:val="%8)"/>
      <w:lvlJc w:val="left"/>
      <w:pPr>
        <w:tabs>
          <w:tab w:val="num" w:pos="972"/>
        </w:tabs>
        <w:ind w:left="6012" w:hanging="720"/>
      </w:pPr>
      <w:rPr>
        <w:rFonts w:hint="default"/>
      </w:rPr>
    </w:lvl>
    <w:lvl w:ilvl="8">
      <w:start w:val="1"/>
      <w:numFmt w:val="decimal"/>
      <w:pStyle w:val="CROutline9"/>
      <w:lvlText w:val="%9)"/>
      <w:lvlJc w:val="left"/>
      <w:pPr>
        <w:tabs>
          <w:tab w:val="num" w:pos="972"/>
        </w:tabs>
        <w:ind w:left="6732" w:hanging="720"/>
      </w:pPr>
      <w:rPr>
        <w:rFonts w:hint="default"/>
      </w:rPr>
    </w:lvl>
  </w:abstractNum>
  <w:abstractNum w:abstractNumId="4" w15:restartNumberingAfterBreak="0">
    <w:nsid w:val="423F2BE8"/>
    <w:multiLevelType w:val="multilevel"/>
    <w:tmpl w:val="D02CC95A"/>
    <w:lvl w:ilvl="0">
      <w:start w:val="1"/>
      <w:numFmt w:val="upperLetter"/>
      <w:lvlText w:val="%1."/>
      <w:lvlJc w:val="left"/>
      <w:pPr>
        <w:ind w:left="360" w:hanging="360"/>
      </w:pPr>
      <w:rPr>
        <w:rFonts w:hint="default"/>
        <w:b/>
        <w:bCs w:val="0"/>
        <w:i w:val="0"/>
        <w:iCs w:val="0"/>
        <w:caps w:val="0"/>
        <w:smallCaps w:val="0"/>
        <w:strike w:val="0"/>
        <w:dstrike w:val="0"/>
        <w:noProof w:val="0"/>
        <w:vanish w:val="0"/>
        <w:color w:val="000000" w:themeColor="text1"/>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360" w:hanging="360"/>
      </w:pPr>
    </w:lvl>
    <w:lvl w:ilvl="2">
      <w:start w:val="1"/>
      <w:numFmt w:val="decimal"/>
      <w:lvlText w:val="%3."/>
      <w:lvlJc w:val="left"/>
      <w:pPr>
        <w:ind w:left="0" w:firstLine="0"/>
      </w:pPr>
      <w:rPr>
        <w:rFonts w:ascii="Times New Roman" w:hAnsi="Times New Roman" w:cs="Times New Roman" w:hint="default"/>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972"/>
        </w:tabs>
        <w:ind w:left="3132" w:hanging="720"/>
      </w:pPr>
      <w:rPr>
        <w:rFonts w:hint="default"/>
      </w:rPr>
    </w:lvl>
    <w:lvl w:ilvl="4">
      <w:start w:val="1"/>
      <w:numFmt w:val="decimal"/>
      <w:lvlText w:val="(%5)"/>
      <w:lvlJc w:val="left"/>
      <w:pPr>
        <w:tabs>
          <w:tab w:val="num" w:pos="972"/>
        </w:tabs>
        <w:ind w:left="3852" w:hanging="720"/>
      </w:pPr>
      <w:rPr>
        <w:rFonts w:hint="default"/>
      </w:rPr>
    </w:lvl>
    <w:lvl w:ilvl="5">
      <w:start w:val="1"/>
      <w:numFmt w:val="lowerLetter"/>
      <w:lvlText w:val="(%6)"/>
      <w:lvlJc w:val="left"/>
      <w:pPr>
        <w:tabs>
          <w:tab w:val="num" w:pos="972"/>
        </w:tabs>
        <w:ind w:left="4572" w:hanging="720"/>
      </w:pPr>
      <w:rPr>
        <w:rFonts w:hint="default"/>
      </w:rPr>
    </w:lvl>
    <w:lvl w:ilvl="6">
      <w:start w:val="1"/>
      <w:numFmt w:val="lowerRoman"/>
      <w:lvlText w:val="%7)"/>
      <w:lvlJc w:val="left"/>
      <w:pPr>
        <w:tabs>
          <w:tab w:val="num" w:pos="972"/>
        </w:tabs>
        <w:ind w:left="5292" w:hanging="720"/>
      </w:pPr>
      <w:rPr>
        <w:rFonts w:hint="default"/>
      </w:rPr>
    </w:lvl>
    <w:lvl w:ilvl="7">
      <w:start w:val="1"/>
      <w:numFmt w:val="lowerLetter"/>
      <w:lvlText w:val="%8)"/>
      <w:lvlJc w:val="left"/>
      <w:pPr>
        <w:tabs>
          <w:tab w:val="num" w:pos="972"/>
        </w:tabs>
        <w:ind w:left="6012" w:hanging="720"/>
      </w:pPr>
      <w:rPr>
        <w:rFonts w:hint="default"/>
      </w:rPr>
    </w:lvl>
    <w:lvl w:ilvl="8">
      <w:start w:val="1"/>
      <w:numFmt w:val="decimal"/>
      <w:lvlText w:val="%9)"/>
      <w:lvlJc w:val="left"/>
      <w:pPr>
        <w:tabs>
          <w:tab w:val="num" w:pos="972"/>
        </w:tabs>
        <w:ind w:left="6732" w:hanging="720"/>
      </w:pPr>
      <w:rPr>
        <w:rFonts w:hint="default"/>
      </w:rPr>
    </w:lvl>
  </w:abstractNum>
  <w:abstractNum w:abstractNumId="5" w15:restartNumberingAfterBreak="0">
    <w:nsid w:val="4D6A1CE4"/>
    <w:multiLevelType w:val="hybridMultilevel"/>
    <w:tmpl w:val="7CDC7D06"/>
    <w:lvl w:ilvl="0" w:tplc="FFFFFFFF">
      <w:start w:val="1"/>
      <w:numFmt w:val="decimal"/>
      <w:lvlRestart w:val="0"/>
      <w:lvlText w:val="%1."/>
      <w:lvlJc w:val="left"/>
      <w:pPr>
        <w:ind w:left="1440" w:hanging="360"/>
      </w:pPr>
    </w:lvl>
    <w:lvl w:ilvl="1" w:tplc="04090019">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69C751CA"/>
    <w:multiLevelType w:val="singleLevel"/>
    <w:tmpl w:val="837E1F78"/>
    <w:lvl w:ilvl="0">
      <w:start w:val="17"/>
      <w:numFmt w:val="upperLetter"/>
      <w:pStyle w:val="Heading1"/>
      <w:lvlText w:val="%1."/>
      <w:lvlJc w:val="left"/>
      <w:pPr>
        <w:tabs>
          <w:tab w:val="num" w:pos="900"/>
        </w:tabs>
        <w:ind w:left="900" w:hanging="720"/>
      </w:pPr>
      <w:rPr>
        <w:rFonts w:hint="default"/>
      </w:rPr>
    </w:lvl>
  </w:abstractNum>
  <w:abstractNum w:abstractNumId="7" w15:restartNumberingAfterBreak="0">
    <w:nsid w:val="6FBE1904"/>
    <w:multiLevelType w:val="hybridMultilevel"/>
    <w:tmpl w:val="0E900AB6"/>
    <w:lvl w:ilvl="0" w:tplc="859E9D1E">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298876257">
    <w:abstractNumId w:val="6"/>
  </w:num>
  <w:num w:numId="2" w16cid:durableId="1274242199">
    <w:abstractNumId w:val="1"/>
  </w:num>
  <w:num w:numId="3" w16cid:durableId="550728594">
    <w:abstractNumId w:val="5"/>
  </w:num>
  <w:num w:numId="4" w16cid:durableId="1397898013">
    <w:abstractNumId w:val="3"/>
  </w:num>
  <w:num w:numId="5" w16cid:durableId="493911296">
    <w:abstractNumId w:val="7"/>
  </w:num>
  <w:num w:numId="6" w16cid:durableId="598104992">
    <w:abstractNumId w:val="3"/>
  </w:num>
  <w:num w:numId="7" w16cid:durableId="448823113">
    <w:abstractNumId w:val="4"/>
  </w:num>
  <w:num w:numId="8" w16cid:durableId="1742092668">
    <w:abstractNumId w:val="0"/>
  </w:num>
  <w:num w:numId="9" w16cid:durableId="191898075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BD6"/>
    <w:rsid w:val="000001D5"/>
    <w:rsid w:val="00000CC6"/>
    <w:rsid w:val="00000E84"/>
    <w:rsid w:val="00004CA9"/>
    <w:rsid w:val="0000774C"/>
    <w:rsid w:val="000105DB"/>
    <w:rsid w:val="000144A9"/>
    <w:rsid w:val="00020FE8"/>
    <w:rsid w:val="00024ADB"/>
    <w:rsid w:val="00026463"/>
    <w:rsid w:val="000309F3"/>
    <w:rsid w:val="00030CF3"/>
    <w:rsid w:val="00031875"/>
    <w:rsid w:val="0003360B"/>
    <w:rsid w:val="00035509"/>
    <w:rsid w:val="00036E37"/>
    <w:rsid w:val="00040752"/>
    <w:rsid w:val="00041D7A"/>
    <w:rsid w:val="00044340"/>
    <w:rsid w:val="000459BA"/>
    <w:rsid w:val="000507A1"/>
    <w:rsid w:val="00050898"/>
    <w:rsid w:val="000530D1"/>
    <w:rsid w:val="00056DCD"/>
    <w:rsid w:val="0005713B"/>
    <w:rsid w:val="0005740C"/>
    <w:rsid w:val="00060159"/>
    <w:rsid w:val="00060622"/>
    <w:rsid w:val="000649DF"/>
    <w:rsid w:val="00064E3A"/>
    <w:rsid w:val="0006583A"/>
    <w:rsid w:val="00067EBD"/>
    <w:rsid w:val="00071889"/>
    <w:rsid w:val="00072839"/>
    <w:rsid w:val="00080FCE"/>
    <w:rsid w:val="00082CC8"/>
    <w:rsid w:val="00084C43"/>
    <w:rsid w:val="00086AB9"/>
    <w:rsid w:val="0009043D"/>
    <w:rsid w:val="00090B39"/>
    <w:rsid w:val="00093210"/>
    <w:rsid w:val="00095F8A"/>
    <w:rsid w:val="000A09B8"/>
    <w:rsid w:val="000A420A"/>
    <w:rsid w:val="000A440B"/>
    <w:rsid w:val="000A58A5"/>
    <w:rsid w:val="000B1F88"/>
    <w:rsid w:val="000B3245"/>
    <w:rsid w:val="000C19DC"/>
    <w:rsid w:val="000C20B9"/>
    <w:rsid w:val="000C2FBE"/>
    <w:rsid w:val="000C7461"/>
    <w:rsid w:val="000C7716"/>
    <w:rsid w:val="000C7B83"/>
    <w:rsid w:val="000D2A1B"/>
    <w:rsid w:val="000D563D"/>
    <w:rsid w:val="000E11BB"/>
    <w:rsid w:val="000E2471"/>
    <w:rsid w:val="000E2529"/>
    <w:rsid w:val="000E2908"/>
    <w:rsid w:val="000E651A"/>
    <w:rsid w:val="000F0475"/>
    <w:rsid w:val="00100929"/>
    <w:rsid w:val="00100C4C"/>
    <w:rsid w:val="00104746"/>
    <w:rsid w:val="00105234"/>
    <w:rsid w:val="00106011"/>
    <w:rsid w:val="00111DD1"/>
    <w:rsid w:val="001122C4"/>
    <w:rsid w:val="00114185"/>
    <w:rsid w:val="001160E2"/>
    <w:rsid w:val="0012215D"/>
    <w:rsid w:val="001236B1"/>
    <w:rsid w:val="00127499"/>
    <w:rsid w:val="00127E07"/>
    <w:rsid w:val="001316F3"/>
    <w:rsid w:val="001348F3"/>
    <w:rsid w:val="001439A7"/>
    <w:rsid w:val="0014667B"/>
    <w:rsid w:val="001467F7"/>
    <w:rsid w:val="00151904"/>
    <w:rsid w:val="001579E1"/>
    <w:rsid w:val="001605F9"/>
    <w:rsid w:val="00173D01"/>
    <w:rsid w:val="00183989"/>
    <w:rsid w:val="00187058"/>
    <w:rsid w:val="0019092E"/>
    <w:rsid w:val="00190CD8"/>
    <w:rsid w:val="00192CD8"/>
    <w:rsid w:val="001933BE"/>
    <w:rsid w:val="001978B1"/>
    <w:rsid w:val="00197B9A"/>
    <w:rsid w:val="001A3E1A"/>
    <w:rsid w:val="001A4053"/>
    <w:rsid w:val="001A4359"/>
    <w:rsid w:val="001A5E89"/>
    <w:rsid w:val="001A6630"/>
    <w:rsid w:val="001B3853"/>
    <w:rsid w:val="001B4406"/>
    <w:rsid w:val="001B782C"/>
    <w:rsid w:val="001C09BA"/>
    <w:rsid w:val="001C20BC"/>
    <w:rsid w:val="001C4333"/>
    <w:rsid w:val="001C49B5"/>
    <w:rsid w:val="001C50D3"/>
    <w:rsid w:val="001C6574"/>
    <w:rsid w:val="001D351E"/>
    <w:rsid w:val="001D41AF"/>
    <w:rsid w:val="001E3270"/>
    <w:rsid w:val="001E5B9D"/>
    <w:rsid w:val="001F1E8A"/>
    <w:rsid w:val="001F4ACB"/>
    <w:rsid w:val="001F5565"/>
    <w:rsid w:val="00204FCF"/>
    <w:rsid w:val="00205AC0"/>
    <w:rsid w:val="00206477"/>
    <w:rsid w:val="00212620"/>
    <w:rsid w:val="00216D52"/>
    <w:rsid w:val="002206BB"/>
    <w:rsid w:val="002220E3"/>
    <w:rsid w:val="00225270"/>
    <w:rsid w:val="00225975"/>
    <w:rsid w:val="0022754D"/>
    <w:rsid w:val="0023516E"/>
    <w:rsid w:val="002359EF"/>
    <w:rsid w:val="00236912"/>
    <w:rsid w:val="0023785B"/>
    <w:rsid w:val="00240B01"/>
    <w:rsid w:val="00240D41"/>
    <w:rsid w:val="00241356"/>
    <w:rsid w:val="00244077"/>
    <w:rsid w:val="002456D5"/>
    <w:rsid w:val="002460A3"/>
    <w:rsid w:val="00246EAB"/>
    <w:rsid w:val="00251F29"/>
    <w:rsid w:val="00254FD4"/>
    <w:rsid w:val="0025589A"/>
    <w:rsid w:val="0026201D"/>
    <w:rsid w:val="00262DB9"/>
    <w:rsid w:val="00270479"/>
    <w:rsid w:val="00270FD0"/>
    <w:rsid w:val="00272317"/>
    <w:rsid w:val="00273FEB"/>
    <w:rsid w:val="0027464B"/>
    <w:rsid w:val="00274A35"/>
    <w:rsid w:val="00275227"/>
    <w:rsid w:val="00281EBF"/>
    <w:rsid w:val="00281FF0"/>
    <w:rsid w:val="002839A1"/>
    <w:rsid w:val="00285616"/>
    <w:rsid w:val="00286EE7"/>
    <w:rsid w:val="002925B1"/>
    <w:rsid w:val="00292FB3"/>
    <w:rsid w:val="002A3753"/>
    <w:rsid w:val="002A5A9B"/>
    <w:rsid w:val="002B2B3C"/>
    <w:rsid w:val="002C04C1"/>
    <w:rsid w:val="002C143A"/>
    <w:rsid w:val="002C259A"/>
    <w:rsid w:val="002C25F9"/>
    <w:rsid w:val="002C2C2F"/>
    <w:rsid w:val="002C796E"/>
    <w:rsid w:val="002D3BBC"/>
    <w:rsid w:val="002D442E"/>
    <w:rsid w:val="002D5158"/>
    <w:rsid w:val="002D529E"/>
    <w:rsid w:val="002D6693"/>
    <w:rsid w:val="002D7D7F"/>
    <w:rsid w:val="002E0E12"/>
    <w:rsid w:val="002E2604"/>
    <w:rsid w:val="002E664C"/>
    <w:rsid w:val="002E704A"/>
    <w:rsid w:val="002E7B38"/>
    <w:rsid w:val="002F20E4"/>
    <w:rsid w:val="002F3B6A"/>
    <w:rsid w:val="002F4C3B"/>
    <w:rsid w:val="002F4E40"/>
    <w:rsid w:val="002F6183"/>
    <w:rsid w:val="002F62D2"/>
    <w:rsid w:val="00300277"/>
    <w:rsid w:val="00300B43"/>
    <w:rsid w:val="0030232E"/>
    <w:rsid w:val="00303AAD"/>
    <w:rsid w:val="003044AC"/>
    <w:rsid w:val="003065D0"/>
    <w:rsid w:val="00306EDA"/>
    <w:rsid w:val="003122D7"/>
    <w:rsid w:val="003164FE"/>
    <w:rsid w:val="0031B0FA"/>
    <w:rsid w:val="00322B1F"/>
    <w:rsid w:val="0032329E"/>
    <w:rsid w:val="00323DC8"/>
    <w:rsid w:val="00325E21"/>
    <w:rsid w:val="00327F85"/>
    <w:rsid w:val="003329FB"/>
    <w:rsid w:val="00336DBD"/>
    <w:rsid w:val="00342D77"/>
    <w:rsid w:val="00343551"/>
    <w:rsid w:val="00343BB3"/>
    <w:rsid w:val="00345F4D"/>
    <w:rsid w:val="00350F8B"/>
    <w:rsid w:val="00351C3F"/>
    <w:rsid w:val="00355CAF"/>
    <w:rsid w:val="00356856"/>
    <w:rsid w:val="00360504"/>
    <w:rsid w:val="003605C1"/>
    <w:rsid w:val="00363543"/>
    <w:rsid w:val="003649AE"/>
    <w:rsid w:val="00366F2C"/>
    <w:rsid w:val="00367B14"/>
    <w:rsid w:val="00370297"/>
    <w:rsid w:val="00371827"/>
    <w:rsid w:val="003722A9"/>
    <w:rsid w:val="00373C5A"/>
    <w:rsid w:val="003748E9"/>
    <w:rsid w:val="0037533B"/>
    <w:rsid w:val="00375E8F"/>
    <w:rsid w:val="00377944"/>
    <w:rsid w:val="00381574"/>
    <w:rsid w:val="00385010"/>
    <w:rsid w:val="00395A69"/>
    <w:rsid w:val="003A264F"/>
    <w:rsid w:val="003A2762"/>
    <w:rsid w:val="003A307A"/>
    <w:rsid w:val="003A7DBD"/>
    <w:rsid w:val="003A7F79"/>
    <w:rsid w:val="003B0EDE"/>
    <w:rsid w:val="003B1EAC"/>
    <w:rsid w:val="003B3A2D"/>
    <w:rsid w:val="003B46DB"/>
    <w:rsid w:val="003C17D9"/>
    <w:rsid w:val="003C2EF9"/>
    <w:rsid w:val="003C6307"/>
    <w:rsid w:val="003C6EC7"/>
    <w:rsid w:val="003D1206"/>
    <w:rsid w:val="003E2A96"/>
    <w:rsid w:val="003E2C2F"/>
    <w:rsid w:val="003E30BF"/>
    <w:rsid w:val="003E5C13"/>
    <w:rsid w:val="003E65F0"/>
    <w:rsid w:val="003E6765"/>
    <w:rsid w:val="003F2013"/>
    <w:rsid w:val="003F2884"/>
    <w:rsid w:val="003F2A3B"/>
    <w:rsid w:val="003F302E"/>
    <w:rsid w:val="003F33AE"/>
    <w:rsid w:val="003F4A4A"/>
    <w:rsid w:val="003F77E2"/>
    <w:rsid w:val="003F7B12"/>
    <w:rsid w:val="00400CEB"/>
    <w:rsid w:val="00404758"/>
    <w:rsid w:val="00405DB3"/>
    <w:rsid w:val="0041341E"/>
    <w:rsid w:val="00415F3B"/>
    <w:rsid w:val="00416087"/>
    <w:rsid w:val="004178B0"/>
    <w:rsid w:val="00421187"/>
    <w:rsid w:val="00421CC6"/>
    <w:rsid w:val="004228DD"/>
    <w:rsid w:val="0042365C"/>
    <w:rsid w:val="00426BD0"/>
    <w:rsid w:val="00427941"/>
    <w:rsid w:val="00431C4B"/>
    <w:rsid w:val="004354AA"/>
    <w:rsid w:val="0043754A"/>
    <w:rsid w:val="00441503"/>
    <w:rsid w:val="00444885"/>
    <w:rsid w:val="00446796"/>
    <w:rsid w:val="0045639A"/>
    <w:rsid w:val="0045649C"/>
    <w:rsid w:val="00456CD1"/>
    <w:rsid w:val="0045748B"/>
    <w:rsid w:val="004610D5"/>
    <w:rsid w:val="00461FC4"/>
    <w:rsid w:val="0046621C"/>
    <w:rsid w:val="00470CAE"/>
    <w:rsid w:val="004719D3"/>
    <w:rsid w:val="00471EBB"/>
    <w:rsid w:val="004747A6"/>
    <w:rsid w:val="00477929"/>
    <w:rsid w:val="004825E1"/>
    <w:rsid w:val="00484C01"/>
    <w:rsid w:val="00487C89"/>
    <w:rsid w:val="00490FA7"/>
    <w:rsid w:val="004960F2"/>
    <w:rsid w:val="00496DF0"/>
    <w:rsid w:val="00497775"/>
    <w:rsid w:val="004A01D1"/>
    <w:rsid w:val="004A12FB"/>
    <w:rsid w:val="004A17A0"/>
    <w:rsid w:val="004A1E63"/>
    <w:rsid w:val="004A26C0"/>
    <w:rsid w:val="004A45FE"/>
    <w:rsid w:val="004B4F18"/>
    <w:rsid w:val="004C2188"/>
    <w:rsid w:val="004C266F"/>
    <w:rsid w:val="004C2DDA"/>
    <w:rsid w:val="004C4FDF"/>
    <w:rsid w:val="004C59EE"/>
    <w:rsid w:val="004C6E08"/>
    <w:rsid w:val="004C75BB"/>
    <w:rsid w:val="004E0FE5"/>
    <w:rsid w:val="004E151C"/>
    <w:rsid w:val="004E7D87"/>
    <w:rsid w:val="004F0A7C"/>
    <w:rsid w:val="004F2167"/>
    <w:rsid w:val="004F243F"/>
    <w:rsid w:val="004F641C"/>
    <w:rsid w:val="004F64AD"/>
    <w:rsid w:val="0050306C"/>
    <w:rsid w:val="00510272"/>
    <w:rsid w:val="00515BD1"/>
    <w:rsid w:val="00517E32"/>
    <w:rsid w:val="005244B2"/>
    <w:rsid w:val="0052616B"/>
    <w:rsid w:val="00526528"/>
    <w:rsid w:val="0053571F"/>
    <w:rsid w:val="0053702C"/>
    <w:rsid w:val="00540658"/>
    <w:rsid w:val="00542E91"/>
    <w:rsid w:val="0054737C"/>
    <w:rsid w:val="00551E76"/>
    <w:rsid w:val="00553782"/>
    <w:rsid w:val="005544DF"/>
    <w:rsid w:val="005558DC"/>
    <w:rsid w:val="00556044"/>
    <w:rsid w:val="005601F7"/>
    <w:rsid w:val="005603BA"/>
    <w:rsid w:val="00563E6A"/>
    <w:rsid w:val="00565565"/>
    <w:rsid w:val="005671EE"/>
    <w:rsid w:val="0056764E"/>
    <w:rsid w:val="00567DA5"/>
    <w:rsid w:val="00570CD0"/>
    <w:rsid w:val="0057271C"/>
    <w:rsid w:val="005731A5"/>
    <w:rsid w:val="005750E1"/>
    <w:rsid w:val="00577514"/>
    <w:rsid w:val="00577A38"/>
    <w:rsid w:val="005801EE"/>
    <w:rsid w:val="00582727"/>
    <w:rsid w:val="00587691"/>
    <w:rsid w:val="00590B90"/>
    <w:rsid w:val="00591A54"/>
    <w:rsid w:val="00593CF3"/>
    <w:rsid w:val="00594862"/>
    <w:rsid w:val="005A0198"/>
    <w:rsid w:val="005A1060"/>
    <w:rsid w:val="005A2ED8"/>
    <w:rsid w:val="005A4B7F"/>
    <w:rsid w:val="005A6375"/>
    <w:rsid w:val="005B2057"/>
    <w:rsid w:val="005B4E42"/>
    <w:rsid w:val="005B585A"/>
    <w:rsid w:val="005B7DB0"/>
    <w:rsid w:val="005B7EDE"/>
    <w:rsid w:val="005B7F3F"/>
    <w:rsid w:val="005C4359"/>
    <w:rsid w:val="005C6289"/>
    <w:rsid w:val="005C7057"/>
    <w:rsid w:val="005D3C42"/>
    <w:rsid w:val="005D52C4"/>
    <w:rsid w:val="005D5704"/>
    <w:rsid w:val="005D7B08"/>
    <w:rsid w:val="005D7E94"/>
    <w:rsid w:val="005E0D48"/>
    <w:rsid w:val="005E36BB"/>
    <w:rsid w:val="005E4056"/>
    <w:rsid w:val="005E4F4A"/>
    <w:rsid w:val="005E5929"/>
    <w:rsid w:val="005E67D3"/>
    <w:rsid w:val="005E686B"/>
    <w:rsid w:val="005F0371"/>
    <w:rsid w:val="006040A8"/>
    <w:rsid w:val="006056F8"/>
    <w:rsid w:val="00607D99"/>
    <w:rsid w:val="00612174"/>
    <w:rsid w:val="006173CB"/>
    <w:rsid w:val="006176BF"/>
    <w:rsid w:val="00625A2B"/>
    <w:rsid w:val="00626ED2"/>
    <w:rsid w:val="0063083C"/>
    <w:rsid w:val="00630BF9"/>
    <w:rsid w:val="00631828"/>
    <w:rsid w:val="006403FE"/>
    <w:rsid w:val="006406A0"/>
    <w:rsid w:val="0064074D"/>
    <w:rsid w:val="00642AE5"/>
    <w:rsid w:val="00645173"/>
    <w:rsid w:val="00651478"/>
    <w:rsid w:val="00656086"/>
    <w:rsid w:val="00657353"/>
    <w:rsid w:val="006574A6"/>
    <w:rsid w:val="00661003"/>
    <w:rsid w:val="006658DC"/>
    <w:rsid w:val="00673E40"/>
    <w:rsid w:val="00674078"/>
    <w:rsid w:val="00674942"/>
    <w:rsid w:val="00675E2F"/>
    <w:rsid w:val="006811F3"/>
    <w:rsid w:val="006833AF"/>
    <w:rsid w:val="00684712"/>
    <w:rsid w:val="00685C2C"/>
    <w:rsid w:val="00685FF7"/>
    <w:rsid w:val="006874C1"/>
    <w:rsid w:val="00691E83"/>
    <w:rsid w:val="00691EB9"/>
    <w:rsid w:val="0069427E"/>
    <w:rsid w:val="0069747A"/>
    <w:rsid w:val="006A052F"/>
    <w:rsid w:val="006A09A3"/>
    <w:rsid w:val="006A2CB9"/>
    <w:rsid w:val="006A4E02"/>
    <w:rsid w:val="006A5A25"/>
    <w:rsid w:val="006B5539"/>
    <w:rsid w:val="006C0FEB"/>
    <w:rsid w:val="006C2055"/>
    <w:rsid w:val="006C24CF"/>
    <w:rsid w:val="006C3628"/>
    <w:rsid w:val="006C61D9"/>
    <w:rsid w:val="006C7AC7"/>
    <w:rsid w:val="006D18F1"/>
    <w:rsid w:val="006D1945"/>
    <w:rsid w:val="006D2140"/>
    <w:rsid w:val="006D21CA"/>
    <w:rsid w:val="006D4776"/>
    <w:rsid w:val="006E35AE"/>
    <w:rsid w:val="006F01D1"/>
    <w:rsid w:val="006F0DE8"/>
    <w:rsid w:val="006F1EB1"/>
    <w:rsid w:val="006F29C0"/>
    <w:rsid w:val="006F30CE"/>
    <w:rsid w:val="006F74AA"/>
    <w:rsid w:val="006F8590"/>
    <w:rsid w:val="00701CA1"/>
    <w:rsid w:val="007043EF"/>
    <w:rsid w:val="007046D3"/>
    <w:rsid w:val="00704950"/>
    <w:rsid w:val="0070730D"/>
    <w:rsid w:val="00707EA6"/>
    <w:rsid w:val="007108E3"/>
    <w:rsid w:val="007145B0"/>
    <w:rsid w:val="0072012F"/>
    <w:rsid w:val="00725DF5"/>
    <w:rsid w:val="0072628A"/>
    <w:rsid w:val="00732FCA"/>
    <w:rsid w:val="00733E66"/>
    <w:rsid w:val="00733F36"/>
    <w:rsid w:val="00735B7A"/>
    <w:rsid w:val="00743983"/>
    <w:rsid w:val="00747361"/>
    <w:rsid w:val="0074751A"/>
    <w:rsid w:val="0075142D"/>
    <w:rsid w:val="007531CE"/>
    <w:rsid w:val="00760463"/>
    <w:rsid w:val="0076197E"/>
    <w:rsid w:val="00762BEF"/>
    <w:rsid w:val="00763EA0"/>
    <w:rsid w:val="00765215"/>
    <w:rsid w:val="00767B84"/>
    <w:rsid w:val="00771CAE"/>
    <w:rsid w:val="00774C11"/>
    <w:rsid w:val="00775CC0"/>
    <w:rsid w:val="00780432"/>
    <w:rsid w:val="0078056F"/>
    <w:rsid w:val="007814D9"/>
    <w:rsid w:val="00783741"/>
    <w:rsid w:val="00783FA2"/>
    <w:rsid w:val="007840EE"/>
    <w:rsid w:val="00784D44"/>
    <w:rsid w:val="0078581C"/>
    <w:rsid w:val="0078645D"/>
    <w:rsid w:val="007867E0"/>
    <w:rsid w:val="00787632"/>
    <w:rsid w:val="007922A9"/>
    <w:rsid w:val="007925AE"/>
    <w:rsid w:val="00792DE2"/>
    <w:rsid w:val="00793F15"/>
    <w:rsid w:val="0079644A"/>
    <w:rsid w:val="007A1465"/>
    <w:rsid w:val="007A2C24"/>
    <w:rsid w:val="007A3EDA"/>
    <w:rsid w:val="007A54EC"/>
    <w:rsid w:val="007A721C"/>
    <w:rsid w:val="007B1034"/>
    <w:rsid w:val="007B1620"/>
    <w:rsid w:val="007B3489"/>
    <w:rsid w:val="007B7551"/>
    <w:rsid w:val="007B77DA"/>
    <w:rsid w:val="007C3CFB"/>
    <w:rsid w:val="007C6F90"/>
    <w:rsid w:val="007D5C97"/>
    <w:rsid w:val="007D7B84"/>
    <w:rsid w:val="007E3785"/>
    <w:rsid w:val="007E3B31"/>
    <w:rsid w:val="007E3C83"/>
    <w:rsid w:val="007E6880"/>
    <w:rsid w:val="007F177C"/>
    <w:rsid w:val="007F1824"/>
    <w:rsid w:val="007F36A1"/>
    <w:rsid w:val="007F43A2"/>
    <w:rsid w:val="008007BF"/>
    <w:rsid w:val="00801A5D"/>
    <w:rsid w:val="00804A06"/>
    <w:rsid w:val="00805E3B"/>
    <w:rsid w:val="00811AF8"/>
    <w:rsid w:val="00820522"/>
    <w:rsid w:val="00825765"/>
    <w:rsid w:val="00827E43"/>
    <w:rsid w:val="00827EC6"/>
    <w:rsid w:val="00827FFE"/>
    <w:rsid w:val="00831CBB"/>
    <w:rsid w:val="008332EE"/>
    <w:rsid w:val="00834528"/>
    <w:rsid w:val="00835D0C"/>
    <w:rsid w:val="008368E5"/>
    <w:rsid w:val="00837E93"/>
    <w:rsid w:val="00840088"/>
    <w:rsid w:val="0084133E"/>
    <w:rsid w:val="00842AB2"/>
    <w:rsid w:val="00844F36"/>
    <w:rsid w:val="008463ED"/>
    <w:rsid w:val="00850AB7"/>
    <w:rsid w:val="008528FF"/>
    <w:rsid w:val="0085293F"/>
    <w:rsid w:val="00852B0B"/>
    <w:rsid w:val="00852B42"/>
    <w:rsid w:val="0085401A"/>
    <w:rsid w:val="00862320"/>
    <w:rsid w:val="008624EE"/>
    <w:rsid w:val="00865135"/>
    <w:rsid w:val="008706CA"/>
    <w:rsid w:val="008717A9"/>
    <w:rsid w:val="008724DB"/>
    <w:rsid w:val="008728AA"/>
    <w:rsid w:val="00872BF8"/>
    <w:rsid w:val="00872CB5"/>
    <w:rsid w:val="00874D14"/>
    <w:rsid w:val="00875856"/>
    <w:rsid w:val="0087657B"/>
    <w:rsid w:val="00877C42"/>
    <w:rsid w:val="008804B3"/>
    <w:rsid w:val="00882DAC"/>
    <w:rsid w:val="008855E9"/>
    <w:rsid w:val="0089189F"/>
    <w:rsid w:val="00892214"/>
    <w:rsid w:val="00896D77"/>
    <w:rsid w:val="00897B27"/>
    <w:rsid w:val="008A12C6"/>
    <w:rsid w:val="008A3846"/>
    <w:rsid w:val="008A5B05"/>
    <w:rsid w:val="008A5FF8"/>
    <w:rsid w:val="008B22F0"/>
    <w:rsid w:val="008B72B9"/>
    <w:rsid w:val="008B72C4"/>
    <w:rsid w:val="008B7A42"/>
    <w:rsid w:val="008C0771"/>
    <w:rsid w:val="008C2A50"/>
    <w:rsid w:val="008C7BD6"/>
    <w:rsid w:val="008D6E52"/>
    <w:rsid w:val="008DFC93"/>
    <w:rsid w:val="008E22BF"/>
    <w:rsid w:val="008E231E"/>
    <w:rsid w:val="008E6AA3"/>
    <w:rsid w:val="008E7FCA"/>
    <w:rsid w:val="008F0EA1"/>
    <w:rsid w:val="008F6935"/>
    <w:rsid w:val="008F6C80"/>
    <w:rsid w:val="009030FB"/>
    <w:rsid w:val="00912512"/>
    <w:rsid w:val="00912965"/>
    <w:rsid w:val="00913406"/>
    <w:rsid w:val="0091345B"/>
    <w:rsid w:val="00914F65"/>
    <w:rsid w:val="00922212"/>
    <w:rsid w:val="00925544"/>
    <w:rsid w:val="0092795B"/>
    <w:rsid w:val="0093715C"/>
    <w:rsid w:val="00953BF0"/>
    <w:rsid w:val="00955620"/>
    <w:rsid w:val="009563D1"/>
    <w:rsid w:val="00960467"/>
    <w:rsid w:val="00960AA0"/>
    <w:rsid w:val="00961B9B"/>
    <w:rsid w:val="0096609C"/>
    <w:rsid w:val="0097136D"/>
    <w:rsid w:val="00977543"/>
    <w:rsid w:val="009775C9"/>
    <w:rsid w:val="00985EB2"/>
    <w:rsid w:val="00986F7E"/>
    <w:rsid w:val="00991F15"/>
    <w:rsid w:val="009924FE"/>
    <w:rsid w:val="00992BD2"/>
    <w:rsid w:val="00992FDC"/>
    <w:rsid w:val="0099343D"/>
    <w:rsid w:val="009A0B5F"/>
    <w:rsid w:val="009A6826"/>
    <w:rsid w:val="009B3D1D"/>
    <w:rsid w:val="009B606B"/>
    <w:rsid w:val="009C070C"/>
    <w:rsid w:val="009C0B38"/>
    <w:rsid w:val="009C0F99"/>
    <w:rsid w:val="009D0003"/>
    <w:rsid w:val="009E18EF"/>
    <w:rsid w:val="009E2464"/>
    <w:rsid w:val="009E537D"/>
    <w:rsid w:val="009E6DAF"/>
    <w:rsid w:val="009F05F7"/>
    <w:rsid w:val="009F4F21"/>
    <w:rsid w:val="009F5F30"/>
    <w:rsid w:val="009F7CD0"/>
    <w:rsid w:val="009F7D50"/>
    <w:rsid w:val="00A0161C"/>
    <w:rsid w:val="00A0228C"/>
    <w:rsid w:val="00A048E1"/>
    <w:rsid w:val="00A0517C"/>
    <w:rsid w:val="00A053FE"/>
    <w:rsid w:val="00A054C4"/>
    <w:rsid w:val="00A0780C"/>
    <w:rsid w:val="00A13C97"/>
    <w:rsid w:val="00A140C0"/>
    <w:rsid w:val="00A153A0"/>
    <w:rsid w:val="00A15659"/>
    <w:rsid w:val="00A177C4"/>
    <w:rsid w:val="00A227B8"/>
    <w:rsid w:val="00A23F3E"/>
    <w:rsid w:val="00A261BD"/>
    <w:rsid w:val="00A303A6"/>
    <w:rsid w:val="00A30D1E"/>
    <w:rsid w:val="00A30D54"/>
    <w:rsid w:val="00A325A9"/>
    <w:rsid w:val="00A32A0F"/>
    <w:rsid w:val="00A3538D"/>
    <w:rsid w:val="00A45675"/>
    <w:rsid w:val="00A46B80"/>
    <w:rsid w:val="00A473AE"/>
    <w:rsid w:val="00A473C7"/>
    <w:rsid w:val="00A51C2A"/>
    <w:rsid w:val="00A52E9F"/>
    <w:rsid w:val="00A60459"/>
    <w:rsid w:val="00A613CA"/>
    <w:rsid w:val="00A63716"/>
    <w:rsid w:val="00A648F4"/>
    <w:rsid w:val="00A6499C"/>
    <w:rsid w:val="00A65C04"/>
    <w:rsid w:val="00A67327"/>
    <w:rsid w:val="00A70C9B"/>
    <w:rsid w:val="00A72505"/>
    <w:rsid w:val="00A726F2"/>
    <w:rsid w:val="00A74435"/>
    <w:rsid w:val="00A77784"/>
    <w:rsid w:val="00A81131"/>
    <w:rsid w:val="00A813BD"/>
    <w:rsid w:val="00A820F7"/>
    <w:rsid w:val="00A8440B"/>
    <w:rsid w:val="00A84891"/>
    <w:rsid w:val="00A86FAE"/>
    <w:rsid w:val="00A87688"/>
    <w:rsid w:val="00A914AA"/>
    <w:rsid w:val="00A9217E"/>
    <w:rsid w:val="00A931A9"/>
    <w:rsid w:val="00A93B84"/>
    <w:rsid w:val="00A965C2"/>
    <w:rsid w:val="00AA1D9B"/>
    <w:rsid w:val="00AA1EA1"/>
    <w:rsid w:val="00AA2C3D"/>
    <w:rsid w:val="00AA547D"/>
    <w:rsid w:val="00AA62DC"/>
    <w:rsid w:val="00AA7707"/>
    <w:rsid w:val="00AA79E6"/>
    <w:rsid w:val="00AB21B5"/>
    <w:rsid w:val="00AB4258"/>
    <w:rsid w:val="00AB6AFC"/>
    <w:rsid w:val="00AB7EDC"/>
    <w:rsid w:val="00AC23FB"/>
    <w:rsid w:val="00AC41E2"/>
    <w:rsid w:val="00AC7F52"/>
    <w:rsid w:val="00AD1B4D"/>
    <w:rsid w:val="00AD2CA1"/>
    <w:rsid w:val="00AD400C"/>
    <w:rsid w:val="00AD72C1"/>
    <w:rsid w:val="00AE3B1D"/>
    <w:rsid w:val="00AE535D"/>
    <w:rsid w:val="00AE5BE0"/>
    <w:rsid w:val="00AF079B"/>
    <w:rsid w:val="00AF0D2A"/>
    <w:rsid w:val="00AF3B70"/>
    <w:rsid w:val="00AF60E8"/>
    <w:rsid w:val="00B01BD4"/>
    <w:rsid w:val="00B0408D"/>
    <w:rsid w:val="00B0522C"/>
    <w:rsid w:val="00B06560"/>
    <w:rsid w:val="00B1245D"/>
    <w:rsid w:val="00B126F0"/>
    <w:rsid w:val="00B149AB"/>
    <w:rsid w:val="00B20FE9"/>
    <w:rsid w:val="00B212EB"/>
    <w:rsid w:val="00B33A61"/>
    <w:rsid w:val="00B3412D"/>
    <w:rsid w:val="00B3784E"/>
    <w:rsid w:val="00B437D4"/>
    <w:rsid w:val="00B47784"/>
    <w:rsid w:val="00B50990"/>
    <w:rsid w:val="00B5183B"/>
    <w:rsid w:val="00B54431"/>
    <w:rsid w:val="00B54696"/>
    <w:rsid w:val="00B572B1"/>
    <w:rsid w:val="00B57A55"/>
    <w:rsid w:val="00B61AB3"/>
    <w:rsid w:val="00B6454A"/>
    <w:rsid w:val="00B66E85"/>
    <w:rsid w:val="00B713A3"/>
    <w:rsid w:val="00B72850"/>
    <w:rsid w:val="00B7746B"/>
    <w:rsid w:val="00B8532D"/>
    <w:rsid w:val="00B86266"/>
    <w:rsid w:val="00B86F3A"/>
    <w:rsid w:val="00BA106D"/>
    <w:rsid w:val="00BB0F3E"/>
    <w:rsid w:val="00BB2AAF"/>
    <w:rsid w:val="00BB5F36"/>
    <w:rsid w:val="00BC201F"/>
    <w:rsid w:val="00BC584A"/>
    <w:rsid w:val="00BC7A09"/>
    <w:rsid w:val="00BE17A5"/>
    <w:rsid w:val="00BE1D9B"/>
    <w:rsid w:val="00BE3270"/>
    <w:rsid w:val="00BE72F8"/>
    <w:rsid w:val="00BE7C24"/>
    <w:rsid w:val="00BF0683"/>
    <w:rsid w:val="00BF33AD"/>
    <w:rsid w:val="00BF3FF9"/>
    <w:rsid w:val="00BF41A5"/>
    <w:rsid w:val="00C065EB"/>
    <w:rsid w:val="00C07625"/>
    <w:rsid w:val="00C1202D"/>
    <w:rsid w:val="00C20CCA"/>
    <w:rsid w:val="00C22190"/>
    <w:rsid w:val="00C265E8"/>
    <w:rsid w:val="00C26E85"/>
    <w:rsid w:val="00C2717E"/>
    <w:rsid w:val="00C315B0"/>
    <w:rsid w:val="00C3302C"/>
    <w:rsid w:val="00C41446"/>
    <w:rsid w:val="00C44CE6"/>
    <w:rsid w:val="00C50306"/>
    <w:rsid w:val="00C529BA"/>
    <w:rsid w:val="00C54068"/>
    <w:rsid w:val="00C604D0"/>
    <w:rsid w:val="00C657CC"/>
    <w:rsid w:val="00C67298"/>
    <w:rsid w:val="00C754F8"/>
    <w:rsid w:val="00C80321"/>
    <w:rsid w:val="00C80D8D"/>
    <w:rsid w:val="00C81FE6"/>
    <w:rsid w:val="00C82724"/>
    <w:rsid w:val="00C86401"/>
    <w:rsid w:val="00C87E05"/>
    <w:rsid w:val="00C9345A"/>
    <w:rsid w:val="00C95A8F"/>
    <w:rsid w:val="00C97362"/>
    <w:rsid w:val="00CA0D5F"/>
    <w:rsid w:val="00CA1712"/>
    <w:rsid w:val="00CA2481"/>
    <w:rsid w:val="00CA75BF"/>
    <w:rsid w:val="00CB0F51"/>
    <w:rsid w:val="00CB1145"/>
    <w:rsid w:val="00CB2341"/>
    <w:rsid w:val="00CB4A37"/>
    <w:rsid w:val="00CB52C1"/>
    <w:rsid w:val="00CB5908"/>
    <w:rsid w:val="00CC52C6"/>
    <w:rsid w:val="00CC54C3"/>
    <w:rsid w:val="00CD095D"/>
    <w:rsid w:val="00CD3635"/>
    <w:rsid w:val="00CE2666"/>
    <w:rsid w:val="00CE2BF3"/>
    <w:rsid w:val="00CE2C50"/>
    <w:rsid w:val="00CE310A"/>
    <w:rsid w:val="00CE3D03"/>
    <w:rsid w:val="00CE70C3"/>
    <w:rsid w:val="00CF1BDA"/>
    <w:rsid w:val="00CF494B"/>
    <w:rsid w:val="00CF5E27"/>
    <w:rsid w:val="00CF68D1"/>
    <w:rsid w:val="00D0088C"/>
    <w:rsid w:val="00D011CF"/>
    <w:rsid w:val="00D03EE5"/>
    <w:rsid w:val="00D04EB4"/>
    <w:rsid w:val="00D06059"/>
    <w:rsid w:val="00D061E2"/>
    <w:rsid w:val="00D109FD"/>
    <w:rsid w:val="00D12400"/>
    <w:rsid w:val="00D16633"/>
    <w:rsid w:val="00D2317A"/>
    <w:rsid w:val="00D264B2"/>
    <w:rsid w:val="00D327EB"/>
    <w:rsid w:val="00D341DA"/>
    <w:rsid w:val="00D37ED4"/>
    <w:rsid w:val="00D40478"/>
    <w:rsid w:val="00D42522"/>
    <w:rsid w:val="00D45309"/>
    <w:rsid w:val="00D45BFF"/>
    <w:rsid w:val="00D469EF"/>
    <w:rsid w:val="00D5033F"/>
    <w:rsid w:val="00D5165E"/>
    <w:rsid w:val="00D54636"/>
    <w:rsid w:val="00D54D36"/>
    <w:rsid w:val="00D5C8AB"/>
    <w:rsid w:val="00D619E4"/>
    <w:rsid w:val="00D64DC8"/>
    <w:rsid w:val="00D65CC9"/>
    <w:rsid w:val="00D73B0A"/>
    <w:rsid w:val="00D80C07"/>
    <w:rsid w:val="00D90026"/>
    <w:rsid w:val="00D92869"/>
    <w:rsid w:val="00D92F3C"/>
    <w:rsid w:val="00D94B7C"/>
    <w:rsid w:val="00D960A4"/>
    <w:rsid w:val="00D97400"/>
    <w:rsid w:val="00D97881"/>
    <w:rsid w:val="00DA5E17"/>
    <w:rsid w:val="00DA7058"/>
    <w:rsid w:val="00DB2FCD"/>
    <w:rsid w:val="00DB475D"/>
    <w:rsid w:val="00DB733B"/>
    <w:rsid w:val="00DB7AF9"/>
    <w:rsid w:val="00DC1BFE"/>
    <w:rsid w:val="00DC305D"/>
    <w:rsid w:val="00DC73DF"/>
    <w:rsid w:val="00DD27F3"/>
    <w:rsid w:val="00DD3167"/>
    <w:rsid w:val="00DD43A0"/>
    <w:rsid w:val="00DD5727"/>
    <w:rsid w:val="00DD6A7A"/>
    <w:rsid w:val="00DD7D3F"/>
    <w:rsid w:val="00DE2B72"/>
    <w:rsid w:val="00DF221B"/>
    <w:rsid w:val="00E009D6"/>
    <w:rsid w:val="00E017A2"/>
    <w:rsid w:val="00E0191F"/>
    <w:rsid w:val="00E0225F"/>
    <w:rsid w:val="00E044C4"/>
    <w:rsid w:val="00E073A9"/>
    <w:rsid w:val="00E1093B"/>
    <w:rsid w:val="00E10A95"/>
    <w:rsid w:val="00E11A44"/>
    <w:rsid w:val="00E20C9C"/>
    <w:rsid w:val="00E22D92"/>
    <w:rsid w:val="00E22EAF"/>
    <w:rsid w:val="00E2790D"/>
    <w:rsid w:val="00E4726D"/>
    <w:rsid w:val="00E4781A"/>
    <w:rsid w:val="00E47EF3"/>
    <w:rsid w:val="00E53EB0"/>
    <w:rsid w:val="00E5547D"/>
    <w:rsid w:val="00E56658"/>
    <w:rsid w:val="00E57550"/>
    <w:rsid w:val="00E64C7F"/>
    <w:rsid w:val="00E662A4"/>
    <w:rsid w:val="00E726D4"/>
    <w:rsid w:val="00E737D1"/>
    <w:rsid w:val="00E7582F"/>
    <w:rsid w:val="00E801D5"/>
    <w:rsid w:val="00E806DF"/>
    <w:rsid w:val="00E87C88"/>
    <w:rsid w:val="00E90131"/>
    <w:rsid w:val="00E948D7"/>
    <w:rsid w:val="00EA465E"/>
    <w:rsid w:val="00EA5875"/>
    <w:rsid w:val="00EA68FC"/>
    <w:rsid w:val="00EB2BB6"/>
    <w:rsid w:val="00EB4323"/>
    <w:rsid w:val="00EB7145"/>
    <w:rsid w:val="00EB7322"/>
    <w:rsid w:val="00EB73FC"/>
    <w:rsid w:val="00EB76CB"/>
    <w:rsid w:val="00EC01C1"/>
    <w:rsid w:val="00EC1FF3"/>
    <w:rsid w:val="00EC3160"/>
    <w:rsid w:val="00EC5686"/>
    <w:rsid w:val="00EC72DA"/>
    <w:rsid w:val="00ED085D"/>
    <w:rsid w:val="00ED1AE1"/>
    <w:rsid w:val="00ED43E3"/>
    <w:rsid w:val="00ED5921"/>
    <w:rsid w:val="00ED7721"/>
    <w:rsid w:val="00ED7961"/>
    <w:rsid w:val="00EE1756"/>
    <w:rsid w:val="00EE2AB2"/>
    <w:rsid w:val="00EE3053"/>
    <w:rsid w:val="00EE4ADE"/>
    <w:rsid w:val="00EF24EE"/>
    <w:rsid w:val="00EF3E48"/>
    <w:rsid w:val="00EF75D2"/>
    <w:rsid w:val="00EF79AF"/>
    <w:rsid w:val="00F0016F"/>
    <w:rsid w:val="00F0189C"/>
    <w:rsid w:val="00F01DE9"/>
    <w:rsid w:val="00F06A73"/>
    <w:rsid w:val="00F070E8"/>
    <w:rsid w:val="00F113E1"/>
    <w:rsid w:val="00F13421"/>
    <w:rsid w:val="00F15FA1"/>
    <w:rsid w:val="00F1620F"/>
    <w:rsid w:val="00F2128A"/>
    <w:rsid w:val="00F21B36"/>
    <w:rsid w:val="00F21E0B"/>
    <w:rsid w:val="00F24305"/>
    <w:rsid w:val="00F266E4"/>
    <w:rsid w:val="00F2751D"/>
    <w:rsid w:val="00F27A41"/>
    <w:rsid w:val="00F32080"/>
    <w:rsid w:val="00F37AF9"/>
    <w:rsid w:val="00F403ED"/>
    <w:rsid w:val="00F4156A"/>
    <w:rsid w:val="00F425E2"/>
    <w:rsid w:val="00F44732"/>
    <w:rsid w:val="00F572C8"/>
    <w:rsid w:val="00F608C1"/>
    <w:rsid w:val="00F6341B"/>
    <w:rsid w:val="00F65279"/>
    <w:rsid w:val="00F6562C"/>
    <w:rsid w:val="00F66CCE"/>
    <w:rsid w:val="00F67F86"/>
    <w:rsid w:val="00F76134"/>
    <w:rsid w:val="00F768D2"/>
    <w:rsid w:val="00F7759F"/>
    <w:rsid w:val="00F7785D"/>
    <w:rsid w:val="00F82665"/>
    <w:rsid w:val="00F84F40"/>
    <w:rsid w:val="00F873DE"/>
    <w:rsid w:val="00F90F5E"/>
    <w:rsid w:val="00F93B65"/>
    <w:rsid w:val="00F94140"/>
    <w:rsid w:val="00F954F4"/>
    <w:rsid w:val="00F95F3F"/>
    <w:rsid w:val="00F96F86"/>
    <w:rsid w:val="00F972C1"/>
    <w:rsid w:val="00FA5A90"/>
    <w:rsid w:val="00FA730B"/>
    <w:rsid w:val="00FB331E"/>
    <w:rsid w:val="00FB504F"/>
    <w:rsid w:val="00FB5085"/>
    <w:rsid w:val="00FB5646"/>
    <w:rsid w:val="00FB7A3E"/>
    <w:rsid w:val="00FB7CD8"/>
    <w:rsid w:val="00FC14DC"/>
    <w:rsid w:val="00FC387E"/>
    <w:rsid w:val="00FC5842"/>
    <w:rsid w:val="00FC6961"/>
    <w:rsid w:val="00FC6C06"/>
    <w:rsid w:val="00FC74E5"/>
    <w:rsid w:val="00FD0C75"/>
    <w:rsid w:val="00FD0CCF"/>
    <w:rsid w:val="00FD4C42"/>
    <w:rsid w:val="00FD5856"/>
    <w:rsid w:val="00FD6CD3"/>
    <w:rsid w:val="00FE228A"/>
    <w:rsid w:val="00FE31B0"/>
    <w:rsid w:val="00FE36CD"/>
    <w:rsid w:val="00FE62D4"/>
    <w:rsid w:val="00FF046E"/>
    <w:rsid w:val="00FF069A"/>
    <w:rsid w:val="00FF4E94"/>
    <w:rsid w:val="010684D3"/>
    <w:rsid w:val="011E7F81"/>
    <w:rsid w:val="01229DFD"/>
    <w:rsid w:val="012B33A0"/>
    <w:rsid w:val="02018033"/>
    <w:rsid w:val="0203C7E8"/>
    <w:rsid w:val="02062D6A"/>
    <w:rsid w:val="02353C4B"/>
    <w:rsid w:val="023EEAFA"/>
    <w:rsid w:val="0254DA7C"/>
    <w:rsid w:val="027D1AAC"/>
    <w:rsid w:val="028C10E7"/>
    <w:rsid w:val="029BB80C"/>
    <w:rsid w:val="02BA7741"/>
    <w:rsid w:val="02BADFBA"/>
    <w:rsid w:val="03D8D02F"/>
    <w:rsid w:val="03E44060"/>
    <w:rsid w:val="03F1F970"/>
    <w:rsid w:val="03FFCCCD"/>
    <w:rsid w:val="0431655A"/>
    <w:rsid w:val="049DC4EE"/>
    <w:rsid w:val="04C54F21"/>
    <w:rsid w:val="0522D262"/>
    <w:rsid w:val="05A23833"/>
    <w:rsid w:val="05A6967B"/>
    <w:rsid w:val="05C7FAA4"/>
    <w:rsid w:val="05CD0ECF"/>
    <w:rsid w:val="05D78323"/>
    <w:rsid w:val="0628973C"/>
    <w:rsid w:val="06557A09"/>
    <w:rsid w:val="066105A5"/>
    <w:rsid w:val="06738844"/>
    <w:rsid w:val="067A0DD4"/>
    <w:rsid w:val="067A7376"/>
    <w:rsid w:val="06CBBFB0"/>
    <w:rsid w:val="072A4620"/>
    <w:rsid w:val="072B8D38"/>
    <w:rsid w:val="0765D677"/>
    <w:rsid w:val="0779E9A4"/>
    <w:rsid w:val="07AF9AAC"/>
    <w:rsid w:val="07D53CFF"/>
    <w:rsid w:val="07DEEC09"/>
    <w:rsid w:val="088BAF45"/>
    <w:rsid w:val="08A9421D"/>
    <w:rsid w:val="08CD191F"/>
    <w:rsid w:val="08E22FE8"/>
    <w:rsid w:val="08E3B110"/>
    <w:rsid w:val="0961FD06"/>
    <w:rsid w:val="0968DBEB"/>
    <w:rsid w:val="098E3231"/>
    <w:rsid w:val="09A67EEF"/>
    <w:rsid w:val="09E50610"/>
    <w:rsid w:val="0A0D466C"/>
    <w:rsid w:val="0A1EA2CE"/>
    <w:rsid w:val="0A2038B6"/>
    <w:rsid w:val="0A29AEE5"/>
    <w:rsid w:val="0A589AA7"/>
    <w:rsid w:val="0A662875"/>
    <w:rsid w:val="0AA7B363"/>
    <w:rsid w:val="0ABC1674"/>
    <w:rsid w:val="0AEDE250"/>
    <w:rsid w:val="0B01DC22"/>
    <w:rsid w:val="0B055C00"/>
    <w:rsid w:val="0B136D97"/>
    <w:rsid w:val="0B6D2931"/>
    <w:rsid w:val="0B6EB9C5"/>
    <w:rsid w:val="0BB6029A"/>
    <w:rsid w:val="0BE4B4A2"/>
    <w:rsid w:val="0C0426CF"/>
    <w:rsid w:val="0C060021"/>
    <w:rsid w:val="0C1331C2"/>
    <w:rsid w:val="0C1D74AD"/>
    <w:rsid w:val="0C478E71"/>
    <w:rsid w:val="0C6162BD"/>
    <w:rsid w:val="0C61ABAF"/>
    <w:rsid w:val="0C63472E"/>
    <w:rsid w:val="0C8BBE73"/>
    <w:rsid w:val="0CD0D22C"/>
    <w:rsid w:val="0D00156E"/>
    <w:rsid w:val="0D0295EA"/>
    <w:rsid w:val="0D166546"/>
    <w:rsid w:val="0D258F13"/>
    <w:rsid w:val="0D43D8CB"/>
    <w:rsid w:val="0D55E224"/>
    <w:rsid w:val="0D576AB0"/>
    <w:rsid w:val="0D73F932"/>
    <w:rsid w:val="0ED51D95"/>
    <w:rsid w:val="0F1FB008"/>
    <w:rsid w:val="0F497B3E"/>
    <w:rsid w:val="0F516102"/>
    <w:rsid w:val="0FA681CA"/>
    <w:rsid w:val="0FAC04EE"/>
    <w:rsid w:val="0FB9E91F"/>
    <w:rsid w:val="100259C2"/>
    <w:rsid w:val="102EF120"/>
    <w:rsid w:val="10431791"/>
    <w:rsid w:val="10573BE8"/>
    <w:rsid w:val="10CF1602"/>
    <w:rsid w:val="10F8DCC1"/>
    <w:rsid w:val="112B6C25"/>
    <w:rsid w:val="11895608"/>
    <w:rsid w:val="118A2B48"/>
    <w:rsid w:val="11C87F49"/>
    <w:rsid w:val="11F30C49"/>
    <w:rsid w:val="12160C84"/>
    <w:rsid w:val="128E8822"/>
    <w:rsid w:val="1296099F"/>
    <w:rsid w:val="13177338"/>
    <w:rsid w:val="131A3AAF"/>
    <w:rsid w:val="1321F5A3"/>
    <w:rsid w:val="13644FAA"/>
    <w:rsid w:val="14A22C64"/>
    <w:rsid w:val="14A58176"/>
    <w:rsid w:val="14AD68EC"/>
    <w:rsid w:val="14EE495C"/>
    <w:rsid w:val="14EE8E15"/>
    <w:rsid w:val="1502228F"/>
    <w:rsid w:val="151D4FAE"/>
    <w:rsid w:val="1531DA02"/>
    <w:rsid w:val="15717494"/>
    <w:rsid w:val="157262FD"/>
    <w:rsid w:val="15813BE5"/>
    <w:rsid w:val="158880E4"/>
    <w:rsid w:val="159DACBE"/>
    <w:rsid w:val="15D38F5A"/>
    <w:rsid w:val="16857C98"/>
    <w:rsid w:val="1699F82E"/>
    <w:rsid w:val="16ECDDA2"/>
    <w:rsid w:val="16FE869C"/>
    <w:rsid w:val="170EC4D8"/>
    <w:rsid w:val="177516E6"/>
    <w:rsid w:val="17B91A74"/>
    <w:rsid w:val="17E4C7FC"/>
    <w:rsid w:val="17EC5444"/>
    <w:rsid w:val="17F37700"/>
    <w:rsid w:val="181D9F7F"/>
    <w:rsid w:val="182EB3FE"/>
    <w:rsid w:val="1869C3A4"/>
    <w:rsid w:val="189611EF"/>
    <w:rsid w:val="18B5CE5A"/>
    <w:rsid w:val="19239677"/>
    <w:rsid w:val="19319CAC"/>
    <w:rsid w:val="1950B122"/>
    <w:rsid w:val="1962FCAF"/>
    <w:rsid w:val="196A0327"/>
    <w:rsid w:val="1A09B54E"/>
    <w:rsid w:val="1A3291DC"/>
    <w:rsid w:val="1A577CEA"/>
    <w:rsid w:val="1A8CE1B8"/>
    <w:rsid w:val="1AC974CF"/>
    <w:rsid w:val="1AF6AA9A"/>
    <w:rsid w:val="1B14B445"/>
    <w:rsid w:val="1B1E1CBF"/>
    <w:rsid w:val="1B409A94"/>
    <w:rsid w:val="1B9359C1"/>
    <w:rsid w:val="1BA16710"/>
    <w:rsid w:val="1BA248C6"/>
    <w:rsid w:val="1BC673C9"/>
    <w:rsid w:val="1BD56A64"/>
    <w:rsid w:val="1BFF6084"/>
    <w:rsid w:val="1C2B4335"/>
    <w:rsid w:val="1C4D214A"/>
    <w:rsid w:val="1C91D493"/>
    <w:rsid w:val="1C9920D9"/>
    <w:rsid w:val="1CA26C9F"/>
    <w:rsid w:val="1CBCC708"/>
    <w:rsid w:val="1CD8277D"/>
    <w:rsid w:val="1CE9045F"/>
    <w:rsid w:val="1D0987E1"/>
    <w:rsid w:val="1D1CB567"/>
    <w:rsid w:val="1D28A696"/>
    <w:rsid w:val="1D298151"/>
    <w:rsid w:val="1D2CD80D"/>
    <w:rsid w:val="1D3868B8"/>
    <w:rsid w:val="1D40A62E"/>
    <w:rsid w:val="1D607F9A"/>
    <w:rsid w:val="1D9E774A"/>
    <w:rsid w:val="1DB69CF4"/>
    <w:rsid w:val="1DB903EA"/>
    <w:rsid w:val="1DBBE101"/>
    <w:rsid w:val="1E1019A8"/>
    <w:rsid w:val="1E54FF05"/>
    <w:rsid w:val="1E5A3D74"/>
    <w:rsid w:val="1E624429"/>
    <w:rsid w:val="1E7F44B1"/>
    <w:rsid w:val="1E8A8C27"/>
    <w:rsid w:val="1EAF2D40"/>
    <w:rsid w:val="1EC615B5"/>
    <w:rsid w:val="1ED3FCA8"/>
    <w:rsid w:val="1EFE148B"/>
    <w:rsid w:val="1F0B0316"/>
    <w:rsid w:val="1F187FF3"/>
    <w:rsid w:val="1F7955CC"/>
    <w:rsid w:val="1FB714CF"/>
    <w:rsid w:val="20094DC9"/>
    <w:rsid w:val="207BE396"/>
    <w:rsid w:val="2099E4EC"/>
    <w:rsid w:val="20DB72FB"/>
    <w:rsid w:val="20DD13F7"/>
    <w:rsid w:val="20F44606"/>
    <w:rsid w:val="2115262D"/>
    <w:rsid w:val="213D46E5"/>
    <w:rsid w:val="21447743"/>
    <w:rsid w:val="216A32DE"/>
    <w:rsid w:val="21D5BE4C"/>
    <w:rsid w:val="21E2AA59"/>
    <w:rsid w:val="22106BB1"/>
    <w:rsid w:val="223CF0B4"/>
    <w:rsid w:val="228ED31F"/>
    <w:rsid w:val="22B54BDE"/>
    <w:rsid w:val="22C314C6"/>
    <w:rsid w:val="22CF5F29"/>
    <w:rsid w:val="22F05082"/>
    <w:rsid w:val="22F382B1"/>
    <w:rsid w:val="2306BA8C"/>
    <w:rsid w:val="235AC75D"/>
    <w:rsid w:val="23873273"/>
    <w:rsid w:val="239B6B35"/>
    <w:rsid w:val="23B0A026"/>
    <w:rsid w:val="23D0AE06"/>
    <w:rsid w:val="23ED4285"/>
    <w:rsid w:val="23EEC0CE"/>
    <w:rsid w:val="2425D2D7"/>
    <w:rsid w:val="2438B0E4"/>
    <w:rsid w:val="246295CE"/>
    <w:rsid w:val="24B30C61"/>
    <w:rsid w:val="2514B788"/>
    <w:rsid w:val="25373B96"/>
    <w:rsid w:val="25492B0C"/>
    <w:rsid w:val="254D548B"/>
    <w:rsid w:val="25542DB2"/>
    <w:rsid w:val="25A2421F"/>
    <w:rsid w:val="25BA562F"/>
    <w:rsid w:val="25C42360"/>
    <w:rsid w:val="262E74E0"/>
    <w:rsid w:val="26827575"/>
    <w:rsid w:val="2689B497"/>
    <w:rsid w:val="26A35C80"/>
    <w:rsid w:val="26B50579"/>
    <w:rsid w:val="26D0983C"/>
    <w:rsid w:val="26E4FB6D"/>
    <w:rsid w:val="2707FC41"/>
    <w:rsid w:val="27124B92"/>
    <w:rsid w:val="271C97EC"/>
    <w:rsid w:val="273810BF"/>
    <w:rsid w:val="274D858B"/>
    <w:rsid w:val="275CB14B"/>
    <w:rsid w:val="27A05F86"/>
    <w:rsid w:val="27D1C6EB"/>
    <w:rsid w:val="27DF3BF5"/>
    <w:rsid w:val="27DF77B8"/>
    <w:rsid w:val="281D3FD0"/>
    <w:rsid w:val="282106AF"/>
    <w:rsid w:val="2830CCEF"/>
    <w:rsid w:val="285017A0"/>
    <w:rsid w:val="2864866B"/>
    <w:rsid w:val="2877711B"/>
    <w:rsid w:val="288FCB81"/>
    <w:rsid w:val="28ABA695"/>
    <w:rsid w:val="28B9646C"/>
    <w:rsid w:val="28BB05D6"/>
    <w:rsid w:val="2925C313"/>
    <w:rsid w:val="293D2FB0"/>
    <w:rsid w:val="2948656D"/>
    <w:rsid w:val="29600F5E"/>
    <w:rsid w:val="29D4978F"/>
    <w:rsid w:val="2A4CFBEC"/>
    <w:rsid w:val="2A5681B3"/>
    <w:rsid w:val="2A679D8D"/>
    <w:rsid w:val="2A7916B4"/>
    <w:rsid w:val="2A99FAC2"/>
    <w:rsid w:val="2AC89FF9"/>
    <w:rsid w:val="2AE5BAAD"/>
    <w:rsid w:val="2AEA449A"/>
    <w:rsid w:val="2AF2582E"/>
    <w:rsid w:val="2B48F0ED"/>
    <w:rsid w:val="2B5A30D3"/>
    <w:rsid w:val="2B602575"/>
    <w:rsid w:val="2B658B8D"/>
    <w:rsid w:val="2B661DD6"/>
    <w:rsid w:val="2B85530C"/>
    <w:rsid w:val="2BDA48F6"/>
    <w:rsid w:val="2BFA68D7"/>
    <w:rsid w:val="2C31CD6A"/>
    <w:rsid w:val="2C3637A9"/>
    <w:rsid w:val="2C5E27B1"/>
    <w:rsid w:val="2C68FA97"/>
    <w:rsid w:val="2CE90BD9"/>
    <w:rsid w:val="2D5F3F97"/>
    <w:rsid w:val="2D9248DC"/>
    <w:rsid w:val="2D9CA20E"/>
    <w:rsid w:val="2DF89DBA"/>
    <w:rsid w:val="2DFE78DE"/>
    <w:rsid w:val="2E0035F7"/>
    <w:rsid w:val="2E316838"/>
    <w:rsid w:val="2E383BF0"/>
    <w:rsid w:val="2E8DA93E"/>
    <w:rsid w:val="2EAA7927"/>
    <w:rsid w:val="2EED6AB8"/>
    <w:rsid w:val="2EEE1C5A"/>
    <w:rsid w:val="2EEFF0AC"/>
    <w:rsid w:val="2F0818A1"/>
    <w:rsid w:val="2F1417D9"/>
    <w:rsid w:val="2F2ED1CD"/>
    <w:rsid w:val="30836730"/>
    <w:rsid w:val="30858E9D"/>
    <w:rsid w:val="30990B68"/>
    <w:rsid w:val="30B0FF85"/>
    <w:rsid w:val="30B8697F"/>
    <w:rsid w:val="30D24845"/>
    <w:rsid w:val="30FDB93D"/>
    <w:rsid w:val="3141D4C7"/>
    <w:rsid w:val="31687F5A"/>
    <w:rsid w:val="317DA8F3"/>
    <w:rsid w:val="322D7836"/>
    <w:rsid w:val="32519F2F"/>
    <w:rsid w:val="327E1FE0"/>
    <w:rsid w:val="328D055F"/>
    <w:rsid w:val="3290CF0B"/>
    <w:rsid w:val="32D4D571"/>
    <w:rsid w:val="32EEC8FD"/>
    <w:rsid w:val="32F2D467"/>
    <w:rsid w:val="33368CF7"/>
    <w:rsid w:val="3348CB89"/>
    <w:rsid w:val="337F30E0"/>
    <w:rsid w:val="33848294"/>
    <w:rsid w:val="33B2439E"/>
    <w:rsid w:val="33CD1EF9"/>
    <w:rsid w:val="33EBD4BA"/>
    <w:rsid w:val="3422B3F1"/>
    <w:rsid w:val="342F1055"/>
    <w:rsid w:val="343930AA"/>
    <w:rsid w:val="3499F5BE"/>
    <w:rsid w:val="34C6C37D"/>
    <w:rsid w:val="34CFB12E"/>
    <w:rsid w:val="34E7EF77"/>
    <w:rsid w:val="35042382"/>
    <w:rsid w:val="350A2238"/>
    <w:rsid w:val="3517E3F2"/>
    <w:rsid w:val="35214EC0"/>
    <w:rsid w:val="355B2872"/>
    <w:rsid w:val="357DC2F8"/>
    <w:rsid w:val="357FD5E2"/>
    <w:rsid w:val="35C57EA2"/>
    <w:rsid w:val="35EB6A4D"/>
    <w:rsid w:val="36333D90"/>
    <w:rsid w:val="36CB89F5"/>
    <w:rsid w:val="37030CBD"/>
    <w:rsid w:val="3735132C"/>
    <w:rsid w:val="37A74993"/>
    <w:rsid w:val="37D3364A"/>
    <w:rsid w:val="388AF4F0"/>
    <w:rsid w:val="398C0758"/>
    <w:rsid w:val="3990034F"/>
    <w:rsid w:val="39DA9300"/>
    <w:rsid w:val="39DAE98C"/>
    <w:rsid w:val="39F2C6B8"/>
    <w:rsid w:val="3A124289"/>
    <w:rsid w:val="3A2CC451"/>
    <w:rsid w:val="3A6F21C3"/>
    <w:rsid w:val="3A88FB8E"/>
    <w:rsid w:val="3AA0D2BD"/>
    <w:rsid w:val="3AB31B32"/>
    <w:rsid w:val="3ACB50E2"/>
    <w:rsid w:val="3ACC65FB"/>
    <w:rsid w:val="3B3680E7"/>
    <w:rsid w:val="3B4BDBE4"/>
    <w:rsid w:val="3B6532C9"/>
    <w:rsid w:val="3B6B1A38"/>
    <w:rsid w:val="3B72750E"/>
    <w:rsid w:val="3B7424E7"/>
    <w:rsid w:val="3BD80057"/>
    <w:rsid w:val="3BFACF26"/>
    <w:rsid w:val="3BFFCDE5"/>
    <w:rsid w:val="3C0696F7"/>
    <w:rsid w:val="3C3DD7EE"/>
    <w:rsid w:val="3C4084CB"/>
    <w:rsid w:val="3C4578BD"/>
    <w:rsid w:val="3C859970"/>
    <w:rsid w:val="3CA92AF0"/>
    <w:rsid w:val="3CAB2644"/>
    <w:rsid w:val="3CABB7F7"/>
    <w:rsid w:val="3CCF8102"/>
    <w:rsid w:val="3D191DF4"/>
    <w:rsid w:val="3DC6A969"/>
    <w:rsid w:val="3DDBAD9F"/>
    <w:rsid w:val="3E161B60"/>
    <w:rsid w:val="3E28B053"/>
    <w:rsid w:val="3E70545E"/>
    <w:rsid w:val="3E77CC80"/>
    <w:rsid w:val="3EBDB2F4"/>
    <w:rsid w:val="3EE8B563"/>
    <w:rsid w:val="3F0FA75A"/>
    <w:rsid w:val="3F7241DB"/>
    <w:rsid w:val="3F78258D"/>
    <w:rsid w:val="3FAC3539"/>
    <w:rsid w:val="3FF40DA2"/>
    <w:rsid w:val="40058E92"/>
    <w:rsid w:val="401E966E"/>
    <w:rsid w:val="402D9FF1"/>
    <w:rsid w:val="40840551"/>
    <w:rsid w:val="40C75AC4"/>
    <w:rsid w:val="410839AD"/>
    <w:rsid w:val="413960BE"/>
    <w:rsid w:val="413F3091"/>
    <w:rsid w:val="4147D270"/>
    <w:rsid w:val="416DE66F"/>
    <w:rsid w:val="417C9C13"/>
    <w:rsid w:val="418DADD3"/>
    <w:rsid w:val="41B85714"/>
    <w:rsid w:val="41F61562"/>
    <w:rsid w:val="420D996C"/>
    <w:rsid w:val="42125684"/>
    <w:rsid w:val="422F240E"/>
    <w:rsid w:val="42D25228"/>
    <w:rsid w:val="42EB7A85"/>
    <w:rsid w:val="42F835DE"/>
    <w:rsid w:val="43C6EDE9"/>
    <w:rsid w:val="43E234D2"/>
    <w:rsid w:val="44122A7C"/>
    <w:rsid w:val="444A1944"/>
    <w:rsid w:val="4496CAE8"/>
    <w:rsid w:val="44C84B53"/>
    <w:rsid w:val="44D07752"/>
    <w:rsid w:val="44E125FA"/>
    <w:rsid w:val="451E9903"/>
    <w:rsid w:val="453A6146"/>
    <w:rsid w:val="456977F8"/>
    <w:rsid w:val="45CDBE29"/>
    <w:rsid w:val="461AC09C"/>
    <w:rsid w:val="46329B49"/>
    <w:rsid w:val="466A65CF"/>
    <w:rsid w:val="467665D4"/>
    <w:rsid w:val="46889D7B"/>
    <w:rsid w:val="46BEC3DF"/>
    <w:rsid w:val="46F57B5A"/>
    <w:rsid w:val="47016F9C"/>
    <w:rsid w:val="473002DC"/>
    <w:rsid w:val="47784BB6"/>
    <w:rsid w:val="47B4B7FF"/>
    <w:rsid w:val="47C774FC"/>
    <w:rsid w:val="4811012F"/>
    <w:rsid w:val="4826D92E"/>
    <w:rsid w:val="485F5168"/>
    <w:rsid w:val="48EBD8CD"/>
    <w:rsid w:val="48F3A880"/>
    <w:rsid w:val="4964FF5E"/>
    <w:rsid w:val="499760FA"/>
    <w:rsid w:val="49B8110C"/>
    <w:rsid w:val="49BED5F1"/>
    <w:rsid w:val="49C01246"/>
    <w:rsid w:val="49C0E8BE"/>
    <w:rsid w:val="49E31E7E"/>
    <w:rsid w:val="49F233BF"/>
    <w:rsid w:val="4A255758"/>
    <w:rsid w:val="4A293AC4"/>
    <w:rsid w:val="4A2D0698"/>
    <w:rsid w:val="4A3DC189"/>
    <w:rsid w:val="4A400CFB"/>
    <w:rsid w:val="4A67461D"/>
    <w:rsid w:val="4A738460"/>
    <w:rsid w:val="4A9F577F"/>
    <w:rsid w:val="4ADF683F"/>
    <w:rsid w:val="4AF68C6A"/>
    <w:rsid w:val="4B0537A6"/>
    <w:rsid w:val="4B5BE2A7"/>
    <w:rsid w:val="4B9074E5"/>
    <w:rsid w:val="4C17A97C"/>
    <w:rsid w:val="4C2C829B"/>
    <w:rsid w:val="4C2F558F"/>
    <w:rsid w:val="4C3E7D32"/>
    <w:rsid w:val="4C53F05F"/>
    <w:rsid w:val="4C7595AC"/>
    <w:rsid w:val="4C81B5FF"/>
    <w:rsid w:val="4CC84A41"/>
    <w:rsid w:val="4CF7B308"/>
    <w:rsid w:val="4D4C38FC"/>
    <w:rsid w:val="4D70A3D4"/>
    <w:rsid w:val="4D7821A8"/>
    <w:rsid w:val="4DF912BA"/>
    <w:rsid w:val="4E650085"/>
    <w:rsid w:val="4E9E90B6"/>
    <w:rsid w:val="4ED2D9AC"/>
    <w:rsid w:val="4F51A998"/>
    <w:rsid w:val="4F593F75"/>
    <w:rsid w:val="4F9636DD"/>
    <w:rsid w:val="4FA5648F"/>
    <w:rsid w:val="4FD4926E"/>
    <w:rsid w:val="4FDBF1AF"/>
    <w:rsid w:val="4FF615F8"/>
    <w:rsid w:val="5038F604"/>
    <w:rsid w:val="50663710"/>
    <w:rsid w:val="5071183E"/>
    <w:rsid w:val="50B587CD"/>
    <w:rsid w:val="50DEA34C"/>
    <w:rsid w:val="50FFC451"/>
    <w:rsid w:val="51033072"/>
    <w:rsid w:val="512E49D4"/>
    <w:rsid w:val="515C5A08"/>
    <w:rsid w:val="51A70E5D"/>
    <w:rsid w:val="5204B44E"/>
    <w:rsid w:val="52278844"/>
    <w:rsid w:val="527D3EE0"/>
    <w:rsid w:val="52EA1212"/>
    <w:rsid w:val="5308D946"/>
    <w:rsid w:val="532A68C6"/>
    <w:rsid w:val="53982203"/>
    <w:rsid w:val="539DD7D2"/>
    <w:rsid w:val="539F07E2"/>
    <w:rsid w:val="539FDD22"/>
    <w:rsid w:val="53A5315C"/>
    <w:rsid w:val="53C46934"/>
    <w:rsid w:val="53FCFF54"/>
    <w:rsid w:val="542CFB29"/>
    <w:rsid w:val="542DECF3"/>
    <w:rsid w:val="54CAB433"/>
    <w:rsid w:val="55031708"/>
    <w:rsid w:val="55387C97"/>
    <w:rsid w:val="556A6FAA"/>
    <w:rsid w:val="55878948"/>
    <w:rsid w:val="55BDDBAF"/>
    <w:rsid w:val="55C2FE91"/>
    <w:rsid w:val="55E6E043"/>
    <w:rsid w:val="562782F0"/>
    <w:rsid w:val="56293979"/>
    <w:rsid w:val="562C2ED1"/>
    <w:rsid w:val="5635C86C"/>
    <w:rsid w:val="5656976B"/>
    <w:rsid w:val="56ABE2AE"/>
    <w:rsid w:val="56E08586"/>
    <w:rsid w:val="57134B24"/>
    <w:rsid w:val="5713D9A7"/>
    <w:rsid w:val="5719251E"/>
    <w:rsid w:val="5764C219"/>
    <w:rsid w:val="5767252D"/>
    <w:rsid w:val="579DB843"/>
    <w:rsid w:val="57B12171"/>
    <w:rsid w:val="5808D562"/>
    <w:rsid w:val="58133318"/>
    <w:rsid w:val="582950D7"/>
    <w:rsid w:val="588602E2"/>
    <w:rsid w:val="58B4ACCE"/>
    <w:rsid w:val="58BC7B21"/>
    <w:rsid w:val="58F75092"/>
    <w:rsid w:val="58F8842C"/>
    <w:rsid w:val="595CF836"/>
    <w:rsid w:val="5963381B"/>
    <w:rsid w:val="59F6C53E"/>
    <w:rsid w:val="5A13B4E1"/>
    <w:rsid w:val="5A5128C0"/>
    <w:rsid w:val="5A5BF8F1"/>
    <w:rsid w:val="5A8CB77A"/>
    <w:rsid w:val="5AA2039E"/>
    <w:rsid w:val="5AACE02A"/>
    <w:rsid w:val="5AEF0D36"/>
    <w:rsid w:val="5B1A54DF"/>
    <w:rsid w:val="5B2504EC"/>
    <w:rsid w:val="5B2B381E"/>
    <w:rsid w:val="5B83884A"/>
    <w:rsid w:val="5B9A65AD"/>
    <w:rsid w:val="5BCA9926"/>
    <w:rsid w:val="5C09D5EE"/>
    <w:rsid w:val="5C25B4A2"/>
    <w:rsid w:val="5C9745BE"/>
    <w:rsid w:val="5CB881E4"/>
    <w:rsid w:val="5D145532"/>
    <w:rsid w:val="5D1D8EF3"/>
    <w:rsid w:val="5D3326D7"/>
    <w:rsid w:val="5D4A8387"/>
    <w:rsid w:val="5DA8FF71"/>
    <w:rsid w:val="5DB631AB"/>
    <w:rsid w:val="5DE8BEAE"/>
    <w:rsid w:val="5E01F22E"/>
    <w:rsid w:val="5E2E2EFE"/>
    <w:rsid w:val="5E4422A9"/>
    <w:rsid w:val="5E735FE2"/>
    <w:rsid w:val="5E763E13"/>
    <w:rsid w:val="5EA89DAF"/>
    <w:rsid w:val="5EB474B3"/>
    <w:rsid w:val="5F3F395A"/>
    <w:rsid w:val="5F4CC06B"/>
    <w:rsid w:val="5FAD8019"/>
    <w:rsid w:val="5FC2094E"/>
    <w:rsid w:val="5FDD6051"/>
    <w:rsid w:val="5FE74445"/>
    <w:rsid w:val="601000AC"/>
    <w:rsid w:val="6036AFBA"/>
    <w:rsid w:val="604A6FD6"/>
    <w:rsid w:val="604E0D4D"/>
    <w:rsid w:val="6061AA7B"/>
    <w:rsid w:val="60669694"/>
    <w:rsid w:val="606EB7EC"/>
    <w:rsid w:val="60A5CE06"/>
    <w:rsid w:val="60C671AA"/>
    <w:rsid w:val="60F80B47"/>
    <w:rsid w:val="610A94BF"/>
    <w:rsid w:val="6123F825"/>
    <w:rsid w:val="612FEAC1"/>
    <w:rsid w:val="614B5B22"/>
    <w:rsid w:val="61550579"/>
    <w:rsid w:val="617EF834"/>
    <w:rsid w:val="618FE176"/>
    <w:rsid w:val="620EC036"/>
    <w:rsid w:val="62DA9A19"/>
    <w:rsid w:val="63074713"/>
    <w:rsid w:val="6320048C"/>
    <w:rsid w:val="635ECC3B"/>
    <w:rsid w:val="638505DC"/>
    <w:rsid w:val="63D5725E"/>
    <w:rsid w:val="63EA0140"/>
    <w:rsid w:val="6499E60D"/>
    <w:rsid w:val="64AA2886"/>
    <w:rsid w:val="64ACA3AA"/>
    <w:rsid w:val="64C6A868"/>
    <w:rsid w:val="64C7BB15"/>
    <w:rsid w:val="655A6660"/>
    <w:rsid w:val="65891B1B"/>
    <w:rsid w:val="658E2D10"/>
    <w:rsid w:val="65D5D0E8"/>
    <w:rsid w:val="6624FFA7"/>
    <w:rsid w:val="663E2804"/>
    <w:rsid w:val="66C00790"/>
    <w:rsid w:val="66C4A5DE"/>
    <w:rsid w:val="66D47951"/>
    <w:rsid w:val="670F899A"/>
    <w:rsid w:val="67205516"/>
    <w:rsid w:val="673169AD"/>
    <w:rsid w:val="6790841A"/>
    <w:rsid w:val="679D9BA4"/>
    <w:rsid w:val="679EE97B"/>
    <w:rsid w:val="67BE6522"/>
    <w:rsid w:val="67EFAD24"/>
    <w:rsid w:val="680CB986"/>
    <w:rsid w:val="680ED7DA"/>
    <w:rsid w:val="6811441A"/>
    <w:rsid w:val="6811632D"/>
    <w:rsid w:val="6835A94A"/>
    <w:rsid w:val="68432CFD"/>
    <w:rsid w:val="6875BEAC"/>
    <w:rsid w:val="68CD49F1"/>
    <w:rsid w:val="694B6EAD"/>
    <w:rsid w:val="6958D6E0"/>
    <w:rsid w:val="69640CA5"/>
    <w:rsid w:val="69BE7FEE"/>
    <w:rsid w:val="69C12ED7"/>
    <w:rsid w:val="6A3436C3"/>
    <w:rsid w:val="6A78D9CB"/>
    <w:rsid w:val="6AB8E41B"/>
    <w:rsid w:val="6AF1E54D"/>
    <w:rsid w:val="6B312334"/>
    <w:rsid w:val="6BAC3267"/>
    <w:rsid w:val="6BDDACA3"/>
    <w:rsid w:val="6C4EF2E6"/>
    <w:rsid w:val="6C9943F1"/>
    <w:rsid w:val="6CE4D604"/>
    <w:rsid w:val="6D056349"/>
    <w:rsid w:val="6E247DD1"/>
    <w:rsid w:val="6E63D8DB"/>
    <w:rsid w:val="6E7230E5"/>
    <w:rsid w:val="6E770C95"/>
    <w:rsid w:val="6E80A665"/>
    <w:rsid w:val="6E925EBD"/>
    <w:rsid w:val="6EA8B900"/>
    <w:rsid w:val="6EFFCB3A"/>
    <w:rsid w:val="6F7A65AC"/>
    <w:rsid w:val="701A75FF"/>
    <w:rsid w:val="702F68A6"/>
    <w:rsid w:val="7030DE08"/>
    <w:rsid w:val="703D0C8A"/>
    <w:rsid w:val="70682CAE"/>
    <w:rsid w:val="707C41D6"/>
    <w:rsid w:val="708B2F2F"/>
    <w:rsid w:val="709E4A49"/>
    <w:rsid w:val="70BEAD57"/>
    <w:rsid w:val="70ECFBD4"/>
    <w:rsid w:val="70F1D29D"/>
    <w:rsid w:val="71385F15"/>
    <w:rsid w:val="71405D16"/>
    <w:rsid w:val="7143A8A6"/>
    <w:rsid w:val="714E6B88"/>
    <w:rsid w:val="7172DA2A"/>
    <w:rsid w:val="7194EB9B"/>
    <w:rsid w:val="71A382C7"/>
    <w:rsid w:val="7202BB63"/>
    <w:rsid w:val="7214BB5C"/>
    <w:rsid w:val="72430582"/>
    <w:rsid w:val="725B7541"/>
    <w:rsid w:val="726D0A9B"/>
    <w:rsid w:val="72777D5C"/>
    <w:rsid w:val="729F9370"/>
    <w:rsid w:val="72AAA0DD"/>
    <w:rsid w:val="72BEA2E9"/>
    <w:rsid w:val="72D4E6FE"/>
    <w:rsid w:val="72F169FF"/>
    <w:rsid w:val="73179188"/>
    <w:rsid w:val="7349F08F"/>
    <w:rsid w:val="7356119E"/>
    <w:rsid w:val="735B592C"/>
    <w:rsid w:val="735EACDA"/>
    <w:rsid w:val="737947ED"/>
    <w:rsid w:val="73D671BE"/>
    <w:rsid w:val="73DA225E"/>
    <w:rsid w:val="73F6C458"/>
    <w:rsid w:val="740715B8"/>
    <w:rsid w:val="7421CCD7"/>
    <w:rsid w:val="7467C36F"/>
    <w:rsid w:val="74CAF0F9"/>
    <w:rsid w:val="74F95A83"/>
    <w:rsid w:val="751016DE"/>
    <w:rsid w:val="7534E357"/>
    <w:rsid w:val="7537F6A7"/>
    <w:rsid w:val="7556BA40"/>
    <w:rsid w:val="75912801"/>
    <w:rsid w:val="7594A29E"/>
    <w:rsid w:val="76023C4B"/>
    <w:rsid w:val="761FF54F"/>
    <w:rsid w:val="76409080"/>
    <w:rsid w:val="766A4AA8"/>
    <w:rsid w:val="76819151"/>
    <w:rsid w:val="7690C3EA"/>
    <w:rsid w:val="7698EBCF"/>
    <w:rsid w:val="76A6A8DB"/>
    <w:rsid w:val="76A9A604"/>
    <w:rsid w:val="76B3CAE5"/>
    <w:rsid w:val="76D32098"/>
    <w:rsid w:val="76E03C23"/>
    <w:rsid w:val="7761FA6A"/>
    <w:rsid w:val="77746938"/>
    <w:rsid w:val="777D92F5"/>
    <w:rsid w:val="7793B9E6"/>
    <w:rsid w:val="77C206C5"/>
    <w:rsid w:val="77F89CBF"/>
    <w:rsid w:val="780A6171"/>
    <w:rsid w:val="78421509"/>
    <w:rsid w:val="786951C7"/>
    <w:rsid w:val="788D42DB"/>
    <w:rsid w:val="78CAB6C5"/>
    <w:rsid w:val="78DE13C0"/>
    <w:rsid w:val="7906F377"/>
    <w:rsid w:val="793AA9B4"/>
    <w:rsid w:val="7999E750"/>
    <w:rsid w:val="79AB083F"/>
    <w:rsid w:val="79B21AA4"/>
    <w:rsid w:val="79CC1E67"/>
    <w:rsid w:val="7A078F68"/>
    <w:rsid w:val="7A297A13"/>
    <w:rsid w:val="7A2AC34F"/>
    <w:rsid w:val="7A9ED1D2"/>
    <w:rsid w:val="7ADAA031"/>
    <w:rsid w:val="7B07FE7E"/>
    <w:rsid w:val="7B102008"/>
    <w:rsid w:val="7B3AEAD3"/>
    <w:rsid w:val="7B525C93"/>
    <w:rsid w:val="7B7E1DF8"/>
    <w:rsid w:val="7BA3004B"/>
    <w:rsid w:val="7C0EE028"/>
    <w:rsid w:val="7C1538E0"/>
    <w:rsid w:val="7C946670"/>
    <w:rsid w:val="7CB3BDD9"/>
    <w:rsid w:val="7D230C69"/>
    <w:rsid w:val="7D47376C"/>
    <w:rsid w:val="7D5371D0"/>
    <w:rsid w:val="7E22621A"/>
    <w:rsid w:val="7E447FDA"/>
    <w:rsid w:val="7E4ED15C"/>
    <w:rsid w:val="7E923ECB"/>
    <w:rsid w:val="7EA09401"/>
    <w:rsid w:val="7EC05E16"/>
    <w:rsid w:val="7F2D0C83"/>
    <w:rsid w:val="7F6ED7BE"/>
    <w:rsid w:val="7F7209A1"/>
    <w:rsid w:val="7FB29FBD"/>
    <w:rsid w:val="7FC61E20"/>
    <w:rsid w:val="7FEF5A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0BE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69"/>
    <w:rPr>
      <w:rFonts w:ascii="Times New Roman" w:eastAsia="Times New Roman" w:hAnsi="Times New Roman"/>
    </w:rPr>
  </w:style>
  <w:style w:type="paragraph" w:styleId="Heading1">
    <w:name w:val="heading 1"/>
    <w:basedOn w:val="Normal"/>
    <w:next w:val="Normal"/>
    <w:link w:val="Heading1Char"/>
    <w:qFormat/>
    <w:rsid w:val="008C7BD6"/>
    <w:pPr>
      <w:keepNext/>
      <w:numPr>
        <w:numId w:val="1"/>
      </w:numPr>
      <w:spacing w:line="480" w:lineRule="auto"/>
      <w:outlineLvl w:val="0"/>
    </w:pPr>
    <w:rPr>
      <w:sz w:val="24"/>
    </w:rPr>
  </w:style>
  <w:style w:type="paragraph" w:styleId="Heading2">
    <w:name w:val="heading 2"/>
    <w:basedOn w:val="Normal"/>
    <w:next w:val="Normal"/>
    <w:link w:val="Heading2Char"/>
    <w:qFormat/>
    <w:rsid w:val="008C7BD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8C7BD6"/>
    <w:pPr>
      <w:keepNext/>
      <w:spacing w:before="240" w:after="60"/>
      <w:outlineLvl w:val="2"/>
    </w:pPr>
    <w:rPr>
      <w:rFonts w:ascii="Cambria" w:hAnsi="Cambria"/>
      <w:b/>
      <w:bCs/>
      <w:sz w:val="26"/>
      <w:szCs w:val="26"/>
    </w:rPr>
  </w:style>
  <w:style w:type="paragraph" w:styleId="Heading6">
    <w:name w:val="heading 6"/>
    <w:basedOn w:val="Normal"/>
    <w:next w:val="Normal"/>
    <w:link w:val="Heading6Char"/>
    <w:qFormat/>
    <w:rsid w:val="008C7BD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7BD6"/>
    <w:rPr>
      <w:rFonts w:ascii="Times New Roman" w:eastAsia="Times New Roman" w:hAnsi="Times New Roman"/>
      <w:sz w:val="24"/>
    </w:rPr>
  </w:style>
  <w:style w:type="character" w:customStyle="1" w:styleId="Heading2Char">
    <w:name w:val="Heading 2 Char"/>
    <w:link w:val="Heading2"/>
    <w:rsid w:val="008C7BD6"/>
    <w:rPr>
      <w:rFonts w:ascii="Arial" w:eastAsia="Times New Roman" w:hAnsi="Arial" w:cs="Arial"/>
      <w:b/>
      <w:bCs/>
      <w:i/>
      <w:iCs/>
      <w:sz w:val="28"/>
      <w:szCs w:val="28"/>
    </w:rPr>
  </w:style>
  <w:style w:type="character" w:customStyle="1" w:styleId="Heading3Char">
    <w:name w:val="Heading 3 Char"/>
    <w:link w:val="Heading3"/>
    <w:semiHidden/>
    <w:rsid w:val="008C7BD6"/>
    <w:rPr>
      <w:rFonts w:ascii="Cambria" w:eastAsia="Times New Roman" w:hAnsi="Cambria" w:cs="Times New Roman"/>
      <w:b/>
      <w:bCs/>
      <w:sz w:val="26"/>
      <w:szCs w:val="26"/>
    </w:rPr>
  </w:style>
  <w:style w:type="character" w:customStyle="1" w:styleId="Heading6Char">
    <w:name w:val="Heading 6 Char"/>
    <w:link w:val="Heading6"/>
    <w:rsid w:val="008C7BD6"/>
    <w:rPr>
      <w:rFonts w:ascii="Times New Roman" w:eastAsia="Times New Roman" w:hAnsi="Times New Roman" w:cs="Times New Roman"/>
      <w:b/>
      <w:bCs/>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link w:val="Header"/>
    <w:uiPriority w:val="99"/>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snapToGrid w:val="0"/>
      <w:sz w:val="24"/>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autoRedefine/>
    <w:uiPriority w:val="39"/>
    <w:qFormat/>
    <w:rsid w:val="0087657B"/>
    <w:pPr>
      <w:widowControl w:val="0"/>
      <w:tabs>
        <w:tab w:val="left" w:pos="540"/>
        <w:tab w:val="right" w:leader="dot" w:pos="8640"/>
      </w:tabs>
      <w:spacing w:line="480" w:lineRule="auto"/>
      <w:ind w:left="540" w:hanging="540"/>
    </w:pPr>
    <w:rPr>
      <w:rFonts w:ascii="Times New Roman Bold" w:hAnsi="Times New Roman Bold"/>
      <w:b/>
      <w:bCs/>
      <w:noProof/>
      <w:snapToGrid w:val="0"/>
      <w:sz w:val="24"/>
      <w14:scene3d>
        <w14:camera w14:prst="orthographicFront"/>
        <w14:lightRig w14:rig="threePt" w14:dir="t">
          <w14:rot w14:lat="0" w14:lon="0" w14:rev="0"/>
        </w14:lightRig>
      </w14:scene3d>
    </w:rPr>
  </w:style>
  <w:style w:type="character" w:styleId="PageNumber">
    <w:name w:val="page number"/>
    <w:basedOn w:val="DefaultParagraphFont"/>
    <w:rsid w:val="008C7BD6"/>
  </w:style>
  <w:style w:type="paragraph" w:styleId="TOC2">
    <w:name w:val="toc 2"/>
    <w:basedOn w:val="Normal"/>
    <w:next w:val="Normal"/>
    <w:autoRedefine/>
    <w:uiPriority w:val="39"/>
    <w:qFormat/>
    <w:rsid w:val="0076197E"/>
    <w:pPr>
      <w:tabs>
        <w:tab w:val="left" w:pos="1170"/>
        <w:tab w:val="right" w:leader="dot" w:pos="8630"/>
      </w:tabs>
      <w:spacing w:line="480" w:lineRule="auto"/>
      <w:ind w:firstLine="540"/>
    </w:pPr>
    <w:rPr>
      <w:b/>
      <w:noProof/>
      <w:sz w:val="24"/>
      <w:szCs w:val="24"/>
    </w:rPr>
  </w:style>
  <w:style w:type="paragraph" w:styleId="TOC3">
    <w:name w:val="toc 3"/>
    <w:basedOn w:val="Normal"/>
    <w:next w:val="Normal"/>
    <w:autoRedefine/>
    <w:uiPriority w:val="39"/>
    <w:qFormat/>
    <w:rsid w:val="008C7BD6"/>
    <w:pPr>
      <w:tabs>
        <w:tab w:val="right" w:leader="dot" w:pos="8630"/>
      </w:tabs>
      <w:spacing w:line="480" w:lineRule="auto"/>
      <w:ind w:left="540" w:hanging="540"/>
    </w:pPr>
    <w:rPr>
      <w:b/>
      <w:noProof/>
    </w:rPr>
  </w:style>
  <w:style w:type="character" w:styleId="Hyperlink">
    <w:name w:val="Hyperlink"/>
    <w:uiPriority w:val="99"/>
    <w:unhideWhenUsed/>
    <w:rsid w:val="008C7BD6"/>
    <w:rPr>
      <w:color w:val="0000FF"/>
      <w:u w:val="single"/>
    </w:rPr>
  </w:style>
  <w:style w:type="character" w:styleId="LineNumber">
    <w:name w:val="line number"/>
    <w:uiPriority w:val="99"/>
    <w:unhideWhenUsed/>
    <w:qFormat/>
    <w:rsid w:val="00395A69"/>
    <w:rPr>
      <w:rFonts w:ascii="Times New Roman" w:hAnsi="Times New Roman"/>
      <w:sz w:val="24"/>
    </w:rPr>
  </w:style>
  <w:style w:type="paragraph" w:styleId="BodyTextIndent">
    <w:name w:val="Body Text Indent"/>
    <w:basedOn w:val="Normal"/>
    <w:link w:val="BodyTextIndentChar"/>
    <w:rsid w:val="000B3245"/>
    <w:pPr>
      <w:autoSpaceDE w:val="0"/>
      <w:autoSpaceDN w:val="0"/>
      <w:adjustRightInd w:val="0"/>
      <w:spacing w:after="120"/>
      <w:ind w:left="360"/>
    </w:pPr>
    <w:rPr>
      <w:sz w:val="24"/>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table" w:styleId="TableGrid">
    <w:name w:val="Table Grid"/>
    <w:basedOn w:val="TableNormal"/>
    <w:uiPriority w:val="59"/>
    <w:rsid w:val="00024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Outline1">
    <w:name w:val="CR Outline1"/>
    <w:next w:val="Normal"/>
    <w:qFormat/>
    <w:rsid w:val="00DF221B"/>
    <w:pPr>
      <w:numPr>
        <w:numId w:val="4"/>
      </w:numPr>
      <w:tabs>
        <w:tab w:val="left" w:pos="540"/>
      </w:tabs>
      <w:spacing w:after="240"/>
      <w:jc w:val="center"/>
      <w:outlineLvl w:val="0"/>
    </w:pPr>
    <w:rPr>
      <w:rFonts w:ascii="Times New Roman" w:eastAsia="Times New Roman" w:hAnsi="Times New Roman"/>
      <w:b/>
      <w:sz w:val="24"/>
      <w:szCs w:val="24"/>
      <w:u w:val="single"/>
    </w:rPr>
  </w:style>
  <w:style w:type="paragraph" w:customStyle="1" w:styleId="CROutline2">
    <w:name w:val="CR Outline2"/>
    <w:next w:val="Normal"/>
    <w:qFormat/>
    <w:rsid w:val="009C070C"/>
    <w:pPr>
      <w:spacing w:after="240"/>
      <w:jc w:val="both"/>
      <w:outlineLvl w:val="1"/>
    </w:pPr>
    <w:rPr>
      <w:rFonts w:ascii="Times New Roman" w:eastAsia="Times New Roman" w:hAnsi="Times New Roman"/>
      <w:b/>
      <w:sz w:val="24"/>
      <w:szCs w:val="24"/>
    </w:rPr>
  </w:style>
  <w:style w:type="paragraph" w:customStyle="1" w:styleId="CROutline3">
    <w:name w:val="CR Outline3"/>
    <w:next w:val="Normal"/>
    <w:rsid w:val="009C070C"/>
    <w:pPr>
      <w:numPr>
        <w:ilvl w:val="2"/>
        <w:numId w:val="4"/>
      </w:numPr>
      <w:tabs>
        <w:tab w:val="left" w:pos="2160"/>
      </w:tabs>
      <w:spacing w:after="240"/>
      <w:jc w:val="both"/>
      <w:outlineLvl w:val="2"/>
    </w:pPr>
    <w:rPr>
      <w:rFonts w:ascii="Times New Roman" w:eastAsia="Times New Roman" w:hAnsi="Times New Roman"/>
      <w:b/>
      <w:sz w:val="24"/>
      <w:szCs w:val="24"/>
    </w:rPr>
  </w:style>
  <w:style w:type="paragraph" w:customStyle="1" w:styleId="CROutline4">
    <w:name w:val="CR Outline4"/>
    <w:next w:val="Normal"/>
    <w:rsid w:val="009C070C"/>
    <w:pPr>
      <w:numPr>
        <w:ilvl w:val="3"/>
        <w:numId w:val="4"/>
      </w:numPr>
      <w:tabs>
        <w:tab w:val="left" w:pos="2160"/>
      </w:tabs>
      <w:spacing w:after="240"/>
      <w:jc w:val="both"/>
      <w:outlineLvl w:val="3"/>
    </w:pPr>
    <w:rPr>
      <w:rFonts w:ascii="Times New Roman" w:eastAsia="Times New Roman" w:hAnsi="Times New Roman"/>
      <w:b/>
      <w:sz w:val="24"/>
      <w:szCs w:val="24"/>
    </w:rPr>
  </w:style>
  <w:style w:type="paragraph" w:customStyle="1" w:styleId="CROutline5">
    <w:name w:val="CR Outline5"/>
    <w:next w:val="Normal"/>
    <w:rsid w:val="009C070C"/>
    <w:pPr>
      <w:numPr>
        <w:ilvl w:val="4"/>
        <w:numId w:val="4"/>
      </w:numPr>
      <w:spacing w:after="240"/>
      <w:jc w:val="both"/>
      <w:outlineLvl w:val="4"/>
    </w:pPr>
    <w:rPr>
      <w:rFonts w:ascii="Times New Roman" w:eastAsia="Times New Roman" w:hAnsi="Times New Roman"/>
      <w:b/>
      <w:sz w:val="24"/>
      <w:szCs w:val="24"/>
    </w:rPr>
  </w:style>
  <w:style w:type="paragraph" w:customStyle="1" w:styleId="CROutline6">
    <w:name w:val="CR Outline6"/>
    <w:next w:val="Normal"/>
    <w:rsid w:val="009C070C"/>
    <w:pPr>
      <w:numPr>
        <w:ilvl w:val="5"/>
        <w:numId w:val="4"/>
      </w:numPr>
      <w:spacing w:after="240"/>
      <w:jc w:val="both"/>
      <w:outlineLvl w:val="5"/>
    </w:pPr>
    <w:rPr>
      <w:rFonts w:ascii="Times New Roman" w:eastAsia="Times New Roman" w:hAnsi="Times New Roman"/>
      <w:b/>
      <w:sz w:val="24"/>
      <w:szCs w:val="24"/>
    </w:rPr>
  </w:style>
  <w:style w:type="paragraph" w:customStyle="1" w:styleId="CROutline7">
    <w:name w:val="CR Outline7"/>
    <w:next w:val="Normal"/>
    <w:rsid w:val="009C070C"/>
    <w:pPr>
      <w:numPr>
        <w:ilvl w:val="6"/>
        <w:numId w:val="4"/>
      </w:numPr>
      <w:spacing w:after="240"/>
      <w:jc w:val="both"/>
      <w:outlineLvl w:val="6"/>
    </w:pPr>
    <w:rPr>
      <w:rFonts w:ascii="Times New Roman" w:eastAsia="Times New Roman" w:hAnsi="Times New Roman"/>
      <w:b/>
      <w:sz w:val="24"/>
      <w:szCs w:val="24"/>
    </w:rPr>
  </w:style>
  <w:style w:type="paragraph" w:customStyle="1" w:styleId="CROutline8">
    <w:name w:val="CR Outline8"/>
    <w:next w:val="Normal"/>
    <w:rsid w:val="009C070C"/>
    <w:pPr>
      <w:numPr>
        <w:ilvl w:val="7"/>
        <w:numId w:val="4"/>
      </w:numPr>
      <w:spacing w:after="240"/>
      <w:jc w:val="both"/>
      <w:outlineLvl w:val="7"/>
    </w:pPr>
    <w:rPr>
      <w:rFonts w:ascii="Times New Roman" w:eastAsia="Times New Roman" w:hAnsi="Times New Roman"/>
      <w:b/>
      <w:sz w:val="24"/>
      <w:szCs w:val="24"/>
    </w:rPr>
  </w:style>
  <w:style w:type="paragraph" w:customStyle="1" w:styleId="CROutline9">
    <w:name w:val="CR Outline9"/>
    <w:next w:val="Normal"/>
    <w:rsid w:val="009C070C"/>
    <w:pPr>
      <w:numPr>
        <w:ilvl w:val="8"/>
        <w:numId w:val="4"/>
      </w:numPr>
      <w:spacing w:after="240"/>
      <w:jc w:val="both"/>
      <w:outlineLvl w:val="8"/>
    </w:pPr>
    <w:rPr>
      <w:rFonts w:ascii="Times New Roman" w:eastAsia="Times New Roman" w:hAnsi="Times New Roman"/>
      <w:b/>
      <w:sz w:val="24"/>
      <w:szCs w:val="24"/>
    </w:rPr>
  </w:style>
  <w:style w:type="paragraph" w:styleId="BalloonText">
    <w:name w:val="Balloon Text"/>
    <w:basedOn w:val="Normal"/>
    <w:link w:val="BalloonTextChar"/>
    <w:uiPriority w:val="99"/>
    <w:semiHidden/>
    <w:unhideWhenUsed/>
    <w:rsid w:val="00415F3B"/>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415F3B"/>
    <w:rPr>
      <w:rFonts w:ascii="Segoe UI" w:hAnsi="Segoe UI" w:cs="Segoe UI"/>
      <w:sz w:val="18"/>
      <w:szCs w:val="18"/>
    </w:rPr>
  </w:style>
  <w:style w:type="paragraph" w:styleId="FootnoteText">
    <w:name w:val="footnote text"/>
    <w:basedOn w:val="Normal"/>
    <w:link w:val="FootnoteTextChar"/>
    <w:semiHidden/>
    <w:unhideWhenUsed/>
    <w:rsid w:val="009563D1"/>
    <w:pPr>
      <w:jc w:val="both"/>
    </w:pPr>
    <w:rPr>
      <w:rFonts w:eastAsiaTheme="minorHAnsi" w:cstheme="minorBidi"/>
    </w:rPr>
  </w:style>
  <w:style w:type="character" w:customStyle="1" w:styleId="FootnoteTextChar">
    <w:name w:val="Footnote Text Char"/>
    <w:basedOn w:val="DefaultParagraphFont"/>
    <w:link w:val="FootnoteText"/>
    <w:semiHidden/>
    <w:rsid w:val="009563D1"/>
    <w:rPr>
      <w:rFonts w:ascii="Times New Roman" w:eastAsiaTheme="minorHAnsi" w:hAnsi="Times New Roman" w:cstheme="minorBidi"/>
    </w:rPr>
  </w:style>
  <w:style w:type="character" w:styleId="FootnoteReference">
    <w:name w:val="footnote reference"/>
    <w:basedOn w:val="DefaultParagraphFont"/>
    <w:semiHidden/>
    <w:unhideWhenUsed/>
    <w:rsid w:val="009563D1"/>
    <w:rPr>
      <w:vertAlign w:val="superscript"/>
    </w:rPr>
  </w:style>
  <w:style w:type="paragraph" w:styleId="Revision">
    <w:name w:val="Revision"/>
    <w:hidden/>
    <w:uiPriority w:val="99"/>
    <w:semiHidden/>
    <w:rsid w:val="00D04EB4"/>
    <w:rPr>
      <w:rFonts w:ascii="Times New Roman" w:eastAsia="Times New Roman" w:hAnsi="Times New Roman"/>
    </w:rPr>
  </w:style>
  <w:style w:type="character" w:styleId="CommentReference">
    <w:name w:val="annotation reference"/>
    <w:basedOn w:val="DefaultParagraphFont"/>
    <w:uiPriority w:val="99"/>
    <w:semiHidden/>
    <w:unhideWhenUsed/>
    <w:rsid w:val="00206477"/>
    <w:rPr>
      <w:sz w:val="16"/>
      <w:szCs w:val="16"/>
    </w:rPr>
  </w:style>
  <w:style w:type="paragraph" w:styleId="CommentText">
    <w:name w:val="annotation text"/>
    <w:basedOn w:val="Normal"/>
    <w:link w:val="CommentTextChar"/>
    <w:uiPriority w:val="99"/>
    <w:unhideWhenUsed/>
    <w:rsid w:val="00206477"/>
  </w:style>
  <w:style w:type="character" w:customStyle="1" w:styleId="CommentTextChar">
    <w:name w:val="Comment Text Char"/>
    <w:basedOn w:val="DefaultParagraphFont"/>
    <w:link w:val="CommentText"/>
    <w:uiPriority w:val="99"/>
    <w:rsid w:val="002064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06477"/>
    <w:rPr>
      <w:b/>
      <w:bCs/>
    </w:rPr>
  </w:style>
  <w:style w:type="character" w:customStyle="1" w:styleId="CommentSubjectChar">
    <w:name w:val="Comment Subject Char"/>
    <w:basedOn w:val="CommentTextChar"/>
    <w:link w:val="CommentSubject"/>
    <w:uiPriority w:val="99"/>
    <w:semiHidden/>
    <w:rsid w:val="00206477"/>
    <w:rPr>
      <w:rFonts w:ascii="Times New Roman" w:eastAsia="Times New Roman" w:hAnsi="Times New Roman"/>
      <w:b/>
      <w:bCs/>
    </w:rPr>
  </w:style>
  <w:style w:type="character" w:styleId="Mention">
    <w:name w:val="Mention"/>
    <w:basedOn w:val="DefaultParagraphFont"/>
    <w:uiPriority w:val="99"/>
    <w:unhideWhenUsed/>
    <w:rsid w:val="0091345B"/>
    <w:rPr>
      <w:color w:val="2B579A"/>
      <w:shd w:val="clear" w:color="auto" w:fill="E1DFDD"/>
    </w:rPr>
  </w:style>
  <w:style w:type="character" w:styleId="UnresolvedMention">
    <w:name w:val="Unresolved Mention"/>
    <w:basedOn w:val="DefaultParagraphFont"/>
    <w:uiPriority w:val="99"/>
    <w:semiHidden/>
    <w:unhideWhenUsed/>
    <w:rsid w:val="0091345B"/>
    <w:rPr>
      <w:color w:val="605E5C"/>
      <w:shd w:val="clear" w:color="auto" w:fill="E1DFDD"/>
    </w:rPr>
  </w:style>
  <w:style w:type="paragraph" w:customStyle="1" w:styleId="paragraph">
    <w:name w:val="paragraph"/>
    <w:basedOn w:val="Normal"/>
    <w:rsid w:val="00F113E1"/>
    <w:pPr>
      <w:spacing w:before="100" w:beforeAutospacing="1" w:after="100" w:afterAutospacing="1"/>
    </w:pPr>
    <w:rPr>
      <w:sz w:val="24"/>
      <w:szCs w:val="24"/>
    </w:rPr>
  </w:style>
  <w:style w:type="character" w:customStyle="1" w:styleId="normaltextrun">
    <w:name w:val="normaltextrun"/>
    <w:basedOn w:val="DefaultParagraphFont"/>
    <w:rsid w:val="00F113E1"/>
  </w:style>
  <w:style w:type="character" w:customStyle="1" w:styleId="eop">
    <w:name w:val="eop"/>
    <w:basedOn w:val="DefaultParagraphFont"/>
    <w:rsid w:val="00F113E1"/>
  </w:style>
  <w:style w:type="paragraph" w:styleId="TOCHeading">
    <w:name w:val="TOC Heading"/>
    <w:basedOn w:val="Heading1"/>
    <w:next w:val="Normal"/>
    <w:uiPriority w:val="39"/>
    <w:unhideWhenUsed/>
    <w:qFormat/>
    <w:rsid w:val="00612174"/>
    <w:pPr>
      <w:keepLines/>
      <w:numPr>
        <w:numId w:val="0"/>
      </w:numPr>
      <w:spacing w:before="240" w:line="259" w:lineRule="auto"/>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311">
      <w:bodyDiv w:val="1"/>
      <w:marLeft w:val="0"/>
      <w:marRight w:val="0"/>
      <w:marTop w:val="0"/>
      <w:marBottom w:val="0"/>
      <w:divBdr>
        <w:top w:val="none" w:sz="0" w:space="0" w:color="auto"/>
        <w:left w:val="none" w:sz="0" w:space="0" w:color="auto"/>
        <w:bottom w:val="none" w:sz="0" w:space="0" w:color="auto"/>
        <w:right w:val="none" w:sz="0" w:space="0" w:color="auto"/>
      </w:divBdr>
    </w:div>
    <w:div w:id="88620038">
      <w:bodyDiv w:val="1"/>
      <w:marLeft w:val="0"/>
      <w:marRight w:val="0"/>
      <w:marTop w:val="0"/>
      <w:marBottom w:val="0"/>
      <w:divBdr>
        <w:top w:val="none" w:sz="0" w:space="0" w:color="auto"/>
        <w:left w:val="none" w:sz="0" w:space="0" w:color="auto"/>
        <w:bottom w:val="none" w:sz="0" w:space="0" w:color="auto"/>
        <w:right w:val="none" w:sz="0" w:space="0" w:color="auto"/>
      </w:divBdr>
    </w:div>
    <w:div w:id="295375469">
      <w:bodyDiv w:val="1"/>
      <w:marLeft w:val="0"/>
      <w:marRight w:val="0"/>
      <w:marTop w:val="0"/>
      <w:marBottom w:val="0"/>
      <w:divBdr>
        <w:top w:val="none" w:sz="0" w:space="0" w:color="auto"/>
        <w:left w:val="none" w:sz="0" w:space="0" w:color="auto"/>
        <w:bottom w:val="none" w:sz="0" w:space="0" w:color="auto"/>
        <w:right w:val="none" w:sz="0" w:space="0" w:color="auto"/>
      </w:divBdr>
    </w:div>
    <w:div w:id="555968395">
      <w:bodyDiv w:val="1"/>
      <w:marLeft w:val="0"/>
      <w:marRight w:val="0"/>
      <w:marTop w:val="0"/>
      <w:marBottom w:val="0"/>
      <w:divBdr>
        <w:top w:val="none" w:sz="0" w:space="0" w:color="auto"/>
        <w:left w:val="none" w:sz="0" w:space="0" w:color="auto"/>
        <w:bottom w:val="none" w:sz="0" w:space="0" w:color="auto"/>
        <w:right w:val="none" w:sz="0" w:space="0" w:color="auto"/>
      </w:divBdr>
    </w:div>
    <w:div w:id="811604315">
      <w:bodyDiv w:val="1"/>
      <w:marLeft w:val="0"/>
      <w:marRight w:val="0"/>
      <w:marTop w:val="0"/>
      <w:marBottom w:val="0"/>
      <w:divBdr>
        <w:top w:val="none" w:sz="0" w:space="0" w:color="auto"/>
        <w:left w:val="none" w:sz="0" w:space="0" w:color="auto"/>
        <w:bottom w:val="none" w:sz="0" w:space="0" w:color="auto"/>
        <w:right w:val="none" w:sz="0" w:space="0" w:color="auto"/>
      </w:divBdr>
    </w:div>
    <w:div w:id="954024873">
      <w:bodyDiv w:val="1"/>
      <w:marLeft w:val="0"/>
      <w:marRight w:val="0"/>
      <w:marTop w:val="0"/>
      <w:marBottom w:val="0"/>
      <w:divBdr>
        <w:top w:val="none" w:sz="0" w:space="0" w:color="auto"/>
        <w:left w:val="none" w:sz="0" w:space="0" w:color="auto"/>
        <w:bottom w:val="none" w:sz="0" w:space="0" w:color="auto"/>
        <w:right w:val="none" w:sz="0" w:space="0" w:color="auto"/>
      </w:divBdr>
    </w:div>
    <w:div w:id="1001858100">
      <w:bodyDiv w:val="1"/>
      <w:marLeft w:val="0"/>
      <w:marRight w:val="0"/>
      <w:marTop w:val="0"/>
      <w:marBottom w:val="0"/>
      <w:divBdr>
        <w:top w:val="none" w:sz="0" w:space="0" w:color="auto"/>
        <w:left w:val="none" w:sz="0" w:space="0" w:color="auto"/>
        <w:bottom w:val="none" w:sz="0" w:space="0" w:color="auto"/>
        <w:right w:val="none" w:sz="0" w:space="0" w:color="auto"/>
      </w:divBdr>
    </w:div>
    <w:div w:id="1219167963">
      <w:bodyDiv w:val="1"/>
      <w:marLeft w:val="0"/>
      <w:marRight w:val="0"/>
      <w:marTop w:val="0"/>
      <w:marBottom w:val="0"/>
      <w:divBdr>
        <w:top w:val="none" w:sz="0" w:space="0" w:color="auto"/>
        <w:left w:val="none" w:sz="0" w:space="0" w:color="auto"/>
        <w:bottom w:val="none" w:sz="0" w:space="0" w:color="auto"/>
        <w:right w:val="none" w:sz="0" w:space="0" w:color="auto"/>
      </w:divBdr>
    </w:div>
    <w:div w:id="1301419103">
      <w:bodyDiv w:val="1"/>
      <w:marLeft w:val="0"/>
      <w:marRight w:val="0"/>
      <w:marTop w:val="0"/>
      <w:marBottom w:val="0"/>
      <w:divBdr>
        <w:top w:val="none" w:sz="0" w:space="0" w:color="auto"/>
        <w:left w:val="none" w:sz="0" w:space="0" w:color="auto"/>
        <w:bottom w:val="none" w:sz="0" w:space="0" w:color="auto"/>
        <w:right w:val="none" w:sz="0" w:space="0" w:color="auto"/>
      </w:divBdr>
    </w:div>
    <w:div w:id="1329022441">
      <w:bodyDiv w:val="1"/>
      <w:marLeft w:val="0"/>
      <w:marRight w:val="0"/>
      <w:marTop w:val="0"/>
      <w:marBottom w:val="0"/>
      <w:divBdr>
        <w:top w:val="none" w:sz="0" w:space="0" w:color="auto"/>
        <w:left w:val="none" w:sz="0" w:space="0" w:color="auto"/>
        <w:bottom w:val="none" w:sz="0" w:space="0" w:color="auto"/>
        <w:right w:val="none" w:sz="0" w:space="0" w:color="auto"/>
      </w:divBdr>
    </w:div>
    <w:div w:id="1627352237">
      <w:bodyDiv w:val="1"/>
      <w:marLeft w:val="0"/>
      <w:marRight w:val="0"/>
      <w:marTop w:val="0"/>
      <w:marBottom w:val="0"/>
      <w:divBdr>
        <w:top w:val="none" w:sz="0" w:space="0" w:color="auto"/>
        <w:left w:val="none" w:sz="0" w:space="0" w:color="auto"/>
        <w:bottom w:val="none" w:sz="0" w:space="0" w:color="auto"/>
        <w:right w:val="none" w:sz="0" w:space="0" w:color="auto"/>
      </w:divBdr>
      <w:divsChild>
        <w:div w:id="18431084">
          <w:marLeft w:val="0"/>
          <w:marRight w:val="0"/>
          <w:marTop w:val="0"/>
          <w:marBottom w:val="0"/>
          <w:divBdr>
            <w:top w:val="none" w:sz="0" w:space="0" w:color="auto"/>
            <w:left w:val="none" w:sz="0" w:space="0" w:color="auto"/>
            <w:bottom w:val="none" w:sz="0" w:space="0" w:color="auto"/>
            <w:right w:val="none" w:sz="0" w:space="0" w:color="auto"/>
          </w:divBdr>
          <w:divsChild>
            <w:div w:id="85923081">
              <w:marLeft w:val="0"/>
              <w:marRight w:val="0"/>
              <w:marTop w:val="0"/>
              <w:marBottom w:val="0"/>
              <w:divBdr>
                <w:top w:val="none" w:sz="0" w:space="0" w:color="auto"/>
                <w:left w:val="none" w:sz="0" w:space="0" w:color="auto"/>
                <w:bottom w:val="none" w:sz="0" w:space="0" w:color="auto"/>
                <w:right w:val="none" w:sz="0" w:space="0" w:color="auto"/>
              </w:divBdr>
            </w:div>
            <w:div w:id="113909864">
              <w:marLeft w:val="0"/>
              <w:marRight w:val="0"/>
              <w:marTop w:val="0"/>
              <w:marBottom w:val="0"/>
              <w:divBdr>
                <w:top w:val="none" w:sz="0" w:space="0" w:color="auto"/>
                <w:left w:val="none" w:sz="0" w:space="0" w:color="auto"/>
                <w:bottom w:val="none" w:sz="0" w:space="0" w:color="auto"/>
                <w:right w:val="none" w:sz="0" w:space="0" w:color="auto"/>
              </w:divBdr>
            </w:div>
            <w:div w:id="214121366">
              <w:marLeft w:val="0"/>
              <w:marRight w:val="0"/>
              <w:marTop w:val="0"/>
              <w:marBottom w:val="0"/>
              <w:divBdr>
                <w:top w:val="none" w:sz="0" w:space="0" w:color="auto"/>
                <w:left w:val="none" w:sz="0" w:space="0" w:color="auto"/>
                <w:bottom w:val="none" w:sz="0" w:space="0" w:color="auto"/>
                <w:right w:val="none" w:sz="0" w:space="0" w:color="auto"/>
              </w:divBdr>
            </w:div>
            <w:div w:id="474834859">
              <w:marLeft w:val="0"/>
              <w:marRight w:val="0"/>
              <w:marTop w:val="0"/>
              <w:marBottom w:val="0"/>
              <w:divBdr>
                <w:top w:val="none" w:sz="0" w:space="0" w:color="auto"/>
                <w:left w:val="none" w:sz="0" w:space="0" w:color="auto"/>
                <w:bottom w:val="none" w:sz="0" w:space="0" w:color="auto"/>
                <w:right w:val="none" w:sz="0" w:space="0" w:color="auto"/>
              </w:divBdr>
            </w:div>
            <w:div w:id="504636191">
              <w:marLeft w:val="0"/>
              <w:marRight w:val="0"/>
              <w:marTop w:val="0"/>
              <w:marBottom w:val="0"/>
              <w:divBdr>
                <w:top w:val="none" w:sz="0" w:space="0" w:color="auto"/>
                <w:left w:val="none" w:sz="0" w:space="0" w:color="auto"/>
                <w:bottom w:val="none" w:sz="0" w:space="0" w:color="auto"/>
                <w:right w:val="none" w:sz="0" w:space="0" w:color="auto"/>
              </w:divBdr>
            </w:div>
            <w:div w:id="569271972">
              <w:marLeft w:val="0"/>
              <w:marRight w:val="0"/>
              <w:marTop w:val="0"/>
              <w:marBottom w:val="0"/>
              <w:divBdr>
                <w:top w:val="none" w:sz="0" w:space="0" w:color="auto"/>
                <w:left w:val="none" w:sz="0" w:space="0" w:color="auto"/>
                <w:bottom w:val="none" w:sz="0" w:space="0" w:color="auto"/>
                <w:right w:val="none" w:sz="0" w:space="0" w:color="auto"/>
              </w:divBdr>
            </w:div>
            <w:div w:id="654575819">
              <w:marLeft w:val="0"/>
              <w:marRight w:val="0"/>
              <w:marTop w:val="0"/>
              <w:marBottom w:val="0"/>
              <w:divBdr>
                <w:top w:val="none" w:sz="0" w:space="0" w:color="auto"/>
                <w:left w:val="none" w:sz="0" w:space="0" w:color="auto"/>
                <w:bottom w:val="none" w:sz="0" w:space="0" w:color="auto"/>
                <w:right w:val="none" w:sz="0" w:space="0" w:color="auto"/>
              </w:divBdr>
            </w:div>
            <w:div w:id="825823316">
              <w:marLeft w:val="0"/>
              <w:marRight w:val="0"/>
              <w:marTop w:val="0"/>
              <w:marBottom w:val="0"/>
              <w:divBdr>
                <w:top w:val="none" w:sz="0" w:space="0" w:color="auto"/>
                <w:left w:val="none" w:sz="0" w:space="0" w:color="auto"/>
                <w:bottom w:val="none" w:sz="0" w:space="0" w:color="auto"/>
                <w:right w:val="none" w:sz="0" w:space="0" w:color="auto"/>
              </w:divBdr>
            </w:div>
            <w:div w:id="976102566">
              <w:marLeft w:val="0"/>
              <w:marRight w:val="0"/>
              <w:marTop w:val="0"/>
              <w:marBottom w:val="0"/>
              <w:divBdr>
                <w:top w:val="none" w:sz="0" w:space="0" w:color="auto"/>
                <w:left w:val="none" w:sz="0" w:space="0" w:color="auto"/>
                <w:bottom w:val="none" w:sz="0" w:space="0" w:color="auto"/>
                <w:right w:val="none" w:sz="0" w:space="0" w:color="auto"/>
              </w:divBdr>
            </w:div>
            <w:div w:id="1035615272">
              <w:marLeft w:val="0"/>
              <w:marRight w:val="0"/>
              <w:marTop w:val="0"/>
              <w:marBottom w:val="0"/>
              <w:divBdr>
                <w:top w:val="none" w:sz="0" w:space="0" w:color="auto"/>
                <w:left w:val="none" w:sz="0" w:space="0" w:color="auto"/>
                <w:bottom w:val="none" w:sz="0" w:space="0" w:color="auto"/>
                <w:right w:val="none" w:sz="0" w:space="0" w:color="auto"/>
              </w:divBdr>
            </w:div>
            <w:div w:id="1071972377">
              <w:marLeft w:val="0"/>
              <w:marRight w:val="0"/>
              <w:marTop w:val="0"/>
              <w:marBottom w:val="0"/>
              <w:divBdr>
                <w:top w:val="none" w:sz="0" w:space="0" w:color="auto"/>
                <w:left w:val="none" w:sz="0" w:space="0" w:color="auto"/>
                <w:bottom w:val="none" w:sz="0" w:space="0" w:color="auto"/>
                <w:right w:val="none" w:sz="0" w:space="0" w:color="auto"/>
              </w:divBdr>
            </w:div>
            <w:div w:id="1253665983">
              <w:marLeft w:val="0"/>
              <w:marRight w:val="0"/>
              <w:marTop w:val="0"/>
              <w:marBottom w:val="0"/>
              <w:divBdr>
                <w:top w:val="none" w:sz="0" w:space="0" w:color="auto"/>
                <w:left w:val="none" w:sz="0" w:space="0" w:color="auto"/>
                <w:bottom w:val="none" w:sz="0" w:space="0" w:color="auto"/>
                <w:right w:val="none" w:sz="0" w:space="0" w:color="auto"/>
              </w:divBdr>
            </w:div>
            <w:div w:id="1256667033">
              <w:marLeft w:val="0"/>
              <w:marRight w:val="0"/>
              <w:marTop w:val="0"/>
              <w:marBottom w:val="0"/>
              <w:divBdr>
                <w:top w:val="none" w:sz="0" w:space="0" w:color="auto"/>
                <w:left w:val="none" w:sz="0" w:space="0" w:color="auto"/>
                <w:bottom w:val="none" w:sz="0" w:space="0" w:color="auto"/>
                <w:right w:val="none" w:sz="0" w:space="0" w:color="auto"/>
              </w:divBdr>
            </w:div>
            <w:div w:id="1425029209">
              <w:marLeft w:val="0"/>
              <w:marRight w:val="0"/>
              <w:marTop w:val="0"/>
              <w:marBottom w:val="0"/>
              <w:divBdr>
                <w:top w:val="none" w:sz="0" w:space="0" w:color="auto"/>
                <w:left w:val="none" w:sz="0" w:space="0" w:color="auto"/>
                <w:bottom w:val="none" w:sz="0" w:space="0" w:color="auto"/>
                <w:right w:val="none" w:sz="0" w:space="0" w:color="auto"/>
              </w:divBdr>
            </w:div>
            <w:div w:id="1745182365">
              <w:marLeft w:val="0"/>
              <w:marRight w:val="0"/>
              <w:marTop w:val="0"/>
              <w:marBottom w:val="0"/>
              <w:divBdr>
                <w:top w:val="none" w:sz="0" w:space="0" w:color="auto"/>
                <w:left w:val="none" w:sz="0" w:space="0" w:color="auto"/>
                <w:bottom w:val="none" w:sz="0" w:space="0" w:color="auto"/>
                <w:right w:val="none" w:sz="0" w:space="0" w:color="auto"/>
              </w:divBdr>
            </w:div>
            <w:div w:id="1790082983">
              <w:marLeft w:val="0"/>
              <w:marRight w:val="0"/>
              <w:marTop w:val="0"/>
              <w:marBottom w:val="0"/>
              <w:divBdr>
                <w:top w:val="none" w:sz="0" w:space="0" w:color="auto"/>
                <w:left w:val="none" w:sz="0" w:space="0" w:color="auto"/>
                <w:bottom w:val="none" w:sz="0" w:space="0" w:color="auto"/>
                <w:right w:val="none" w:sz="0" w:space="0" w:color="auto"/>
              </w:divBdr>
            </w:div>
            <w:div w:id="1887443896">
              <w:marLeft w:val="0"/>
              <w:marRight w:val="0"/>
              <w:marTop w:val="0"/>
              <w:marBottom w:val="0"/>
              <w:divBdr>
                <w:top w:val="none" w:sz="0" w:space="0" w:color="auto"/>
                <w:left w:val="none" w:sz="0" w:space="0" w:color="auto"/>
                <w:bottom w:val="none" w:sz="0" w:space="0" w:color="auto"/>
                <w:right w:val="none" w:sz="0" w:space="0" w:color="auto"/>
              </w:divBdr>
            </w:div>
            <w:div w:id="1891646626">
              <w:marLeft w:val="0"/>
              <w:marRight w:val="0"/>
              <w:marTop w:val="0"/>
              <w:marBottom w:val="0"/>
              <w:divBdr>
                <w:top w:val="none" w:sz="0" w:space="0" w:color="auto"/>
                <w:left w:val="none" w:sz="0" w:space="0" w:color="auto"/>
                <w:bottom w:val="none" w:sz="0" w:space="0" w:color="auto"/>
                <w:right w:val="none" w:sz="0" w:space="0" w:color="auto"/>
              </w:divBdr>
            </w:div>
            <w:div w:id="2001543390">
              <w:marLeft w:val="0"/>
              <w:marRight w:val="0"/>
              <w:marTop w:val="0"/>
              <w:marBottom w:val="0"/>
              <w:divBdr>
                <w:top w:val="none" w:sz="0" w:space="0" w:color="auto"/>
                <w:left w:val="none" w:sz="0" w:space="0" w:color="auto"/>
                <w:bottom w:val="none" w:sz="0" w:space="0" w:color="auto"/>
                <w:right w:val="none" w:sz="0" w:space="0" w:color="auto"/>
              </w:divBdr>
            </w:div>
            <w:div w:id="2024553650">
              <w:marLeft w:val="0"/>
              <w:marRight w:val="0"/>
              <w:marTop w:val="0"/>
              <w:marBottom w:val="0"/>
              <w:divBdr>
                <w:top w:val="none" w:sz="0" w:space="0" w:color="auto"/>
                <w:left w:val="none" w:sz="0" w:space="0" w:color="auto"/>
                <w:bottom w:val="none" w:sz="0" w:space="0" w:color="auto"/>
                <w:right w:val="none" w:sz="0" w:space="0" w:color="auto"/>
              </w:divBdr>
            </w:div>
          </w:divsChild>
        </w:div>
        <w:div w:id="330379434">
          <w:marLeft w:val="0"/>
          <w:marRight w:val="0"/>
          <w:marTop w:val="0"/>
          <w:marBottom w:val="0"/>
          <w:divBdr>
            <w:top w:val="none" w:sz="0" w:space="0" w:color="auto"/>
            <w:left w:val="none" w:sz="0" w:space="0" w:color="auto"/>
            <w:bottom w:val="none" w:sz="0" w:space="0" w:color="auto"/>
            <w:right w:val="none" w:sz="0" w:space="0" w:color="auto"/>
          </w:divBdr>
          <w:divsChild>
            <w:div w:id="114761576">
              <w:marLeft w:val="0"/>
              <w:marRight w:val="0"/>
              <w:marTop w:val="0"/>
              <w:marBottom w:val="0"/>
              <w:divBdr>
                <w:top w:val="none" w:sz="0" w:space="0" w:color="auto"/>
                <w:left w:val="none" w:sz="0" w:space="0" w:color="auto"/>
                <w:bottom w:val="none" w:sz="0" w:space="0" w:color="auto"/>
                <w:right w:val="none" w:sz="0" w:space="0" w:color="auto"/>
              </w:divBdr>
            </w:div>
            <w:div w:id="174005322">
              <w:marLeft w:val="0"/>
              <w:marRight w:val="0"/>
              <w:marTop w:val="0"/>
              <w:marBottom w:val="0"/>
              <w:divBdr>
                <w:top w:val="none" w:sz="0" w:space="0" w:color="auto"/>
                <w:left w:val="none" w:sz="0" w:space="0" w:color="auto"/>
                <w:bottom w:val="none" w:sz="0" w:space="0" w:color="auto"/>
                <w:right w:val="none" w:sz="0" w:space="0" w:color="auto"/>
              </w:divBdr>
            </w:div>
            <w:div w:id="177669524">
              <w:marLeft w:val="0"/>
              <w:marRight w:val="0"/>
              <w:marTop w:val="0"/>
              <w:marBottom w:val="0"/>
              <w:divBdr>
                <w:top w:val="none" w:sz="0" w:space="0" w:color="auto"/>
                <w:left w:val="none" w:sz="0" w:space="0" w:color="auto"/>
                <w:bottom w:val="none" w:sz="0" w:space="0" w:color="auto"/>
                <w:right w:val="none" w:sz="0" w:space="0" w:color="auto"/>
              </w:divBdr>
            </w:div>
            <w:div w:id="237137740">
              <w:marLeft w:val="0"/>
              <w:marRight w:val="0"/>
              <w:marTop w:val="0"/>
              <w:marBottom w:val="0"/>
              <w:divBdr>
                <w:top w:val="none" w:sz="0" w:space="0" w:color="auto"/>
                <w:left w:val="none" w:sz="0" w:space="0" w:color="auto"/>
                <w:bottom w:val="none" w:sz="0" w:space="0" w:color="auto"/>
                <w:right w:val="none" w:sz="0" w:space="0" w:color="auto"/>
              </w:divBdr>
            </w:div>
            <w:div w:id="417018086">
              <w:marLeft w:val="0"/>
              <w:marRight w:val="0"/>
              <w:marTop w:val="0"/>
              <w:marBottom w:val="0"/>
              <w:divBdr>
                <w:top w:val="none" w:sz="0" w:space="0" w:color="auto"/>
                <w:left w:val="none" w:sz="0" w:space="0" w:color="auto"/>
                <w:bottom w:val="none" w:sz="0" w:space="0" w:color="auto"/>
                <w:right w:val="none" w:sz="0" w:space="0" w:color="auto"/>
              </w:divBdr>
            </w:div>
            <w:div w:id="524252361">
              <w:marLeft w:val="0"/>
              <w:marRight w:val="0"/>
              <w:marTop w:val="0"/>
              <w:marBottom w:val="0"/>
              <w:divBdr>
                <w:top w:val="none" w:sz="0" w:space="0" w:color="auto"/>
                <w:left w:val="none" w:sz="0" w:space="0" w:color="auto"/>
                <w:bottom w:val="none" w:sz="0" w:space="0" w:color="auto"/>
                <w:right w:val="none" w:sz="0" w:space="0" w:color="auto"/>
              </w:divBdr>
            </w:div>
            <w:div w:id="584803656">
              <w:marLeft w:val="0"/>
              <w:marRight w:val="0"/>
              <w:marTop w:val="0"/>
              <w:marBottom w:val="0"/>
              <w:divBdr>
                <w:top w:val="none" w:sz="0" w:space="0" w:color="auto"/>
                <w:left w:val="none" w:sz="0" w:space="0" w:color="auto"/>
                <w:bottom w:val="none" w:sz="0" w:space="0" w:color="auto"/>
                <w:right w:val="none" w:sz="0" w:space="0" w:color="auto"/>
              </w:divBdr>
            </w:div>
            <w:div w:id="1190412737">
              <w:marLeft w:val="0"/>
              <w:marRight w:val="0"/>
              <w:marTop w:val="0"/>
              <w:marBottom w:val="0"/>
              <w:divBdr>
                <w:top w:val="none" w:sz="0" w:space="0" w:color="auto"/>
                <w:left w:val="none" w:sz="0" w:space="0" w:color="auto"/>
                <w:bottom w:val="none" w:sz="0" w:space="0" w:color="auto"/>
                <w:right w:val="none" w:sz="0" w:space="0" w:color="auto"/>
              </w:divBdr>
            </w:div>
            <w:div w:id="1224833283">
              <w:marLeft w:val="0"/>
              <w:marRight w:val="0"/>
              <w:marTop w:val="0"/>
              <w:marBottom w:val="0"/>
              <w:divBdr>
                <w:top w:val="none" w:sz="0" w:space="0" w:color="auto"/>
                <w:left w:val="none" w:sz="0" w:space="0" w:color="auto"/>
                <w:bottom w:val="none" w:sz="0" w:space="0" w:color="auto"/>
                <w:right w:val="none" w:sz="0" w:space="0" w:color="auto"/>
              </w:divBdr>
            </w:div>
            <w:div w:id="1260329791">
              <w:marLeft w:val="0"/>
              <w:marRight w:val="0"/>
              <w:marTop w:val="0"/>
              <w:marBottom w:val="0"/>
              <w:divBdr>
                <w:top w:val="none" w:sz="0" w:space="0" w:color="auto"/>
                <w:left w:val="none" w:sz="0" w:space="0" w:color="auto"/>
                <w:bottom w:val="none" w:sz="0" w:space="0" w:color="auto"/>
                <w:right w:val="none" w:sz="0" w:space="0" w:color="auto"/>
              </w:divBdr>
            </w:div>
            <w:div w:id="1268545036">
              <w:marLeft w:val="0"/>
              <w:marRight w:val="0"/>
              <w:marTop w:val="0"/>
              <w:marBottom w:val="0"/>
              <w:divBdr>
                <w:top w:val="none" w:sz="0" w:space="0" w:color="auto"/>
                <w:left w:val="none" w:sz="0" w:space="0" w:color="auto"/>
                <w:bottom w:val="none" w:sz="0" w:space="0" w:color="auto"/>
                <w:right w:val="none" w:sz="0" w:space="0" w:color="auto"/>
              </w:divBdr>
            </w:div>
            <w:div w:id="1307079563">
              <w:marLeft w:val="0"/>
              <w:marRight w:val="0"/>
              <w:marTop w:val="0"/>
              <w:marBottom w:val="0"/>
              <w:divBdr>
                <w:top w:val="none" w:sz="0" w:space="0" w:color="auto"/>
                <w:left w:val="none" w:sz="0" w:space="0" w:color="auto"/>
                <w:bottom w:val="none" w:sz="0" w:space="0" w:color="auto"/>
                <w:right w:val="none" w:sz="0" w:space="0" w:color="auto"/>
              </w:divBdr>
            </w:div>
            <w:div w:id="1496728737">
              <w:marLeft w:val="0"/>
              <w:marRight w:val="0"/>
              <w:marTop w:val="0"/>
              <w:marBottom w:val="0"/>
              <w:divBdr>
                <w:top w:val="none" w:sz="0" w:space="0" w:color="auto"/>
                <w:left w:val="none" w:sz="0" w:space="0" w:color="auto"/>
                <w:bottom w:val="none" w:sz="0" w:space="0" w:color="auto"/>
                <w:right w:val="none" w:sz="0" w:space="0" w:color="auto"/>
              </w:divBdr>
            </w:div>
            <w:div w:id="1575622455">
              <w:marLeft w:val="0"/>
              <w:marRight w:val="0"/>
              <w:marTop w:val="0"/>
              <w:marBottom w:val="0"/>
              <w:divBdr>
                <w:top w:val="none" w:sz="0" w:space="0" w:color="auto"/>
                <w:left w:val="none" w:sz="0" w:space="0" w:color="auto"/>
                <w:bottom w:val="none" w:sz="0" w:space="0" w:color="auto"/>
                <w:right w:val="none" w:sz="0" w:space="0" w:color="auto"/>
              </w:divBdr>
            </w:div>
            <w:div w:id="1603412153">
              <w:marLeft w:val="0"/>
              <w:marRight w:val="0"/>
              <w:marTop w:val="0"/>
              <w:marBottom w:val="0"/>
              <w:divBdr>
                <w:top w:val="none" w:sz="0" w:space="0" w:color="auto"/>
                <w:left w:val="none" w:sz="0" w:space="0" w:color="auto"/>
                <w:bottom w:val="none" w:sz="0" w:space="0" w:color="auto"/>
                <w:right w:val="none" w:sz="0" w:space="0" w:color="auto"/>
              </w:divBdr>
            </w:div>
            <w:div w:id="1721132021">
              <w:marLeft w:val="0"/>
              <w:marRight w:val="0"/>
              <w:marTop w:val="0"/>
              <w:marBottom w:val="0"/>
              <w:divBdr>
                <w:top w:val="none" w:sz="0" w:space="0" w:color="auto"/>
                <w:left w:val="none" w:sz="0" w:space="0" w:color="auto"/>
                <w:bottom w:val="none" w:sz="0" w:space="0" w:color="auto"/>
                <w:right w:val="none" w:sz="0" w:space="0" w:color="auto"/>
              </w:divBdr>
            </w:div>
            <w:div w:id="1982883370">
              <w:marLeft w:val="0"/>
              <w:marRight w:val="0"/>
              <w:marTop w:val="0"/>
              <w:marBottom w:val="0"/>
              <w:divBdr>
                <w:top w:val="none" w:sz="0" w:space="0" w:color="auto"/>
                <w:left w:val="none" w:sz="0" w:space="0" w:color="auto"/>
                <w:bottom w:val="none" w:sz="0" w:space="0" w:color="auto"/>
                <w:right w:val="none" w:sz="0" w:space="0" w:color="auto"/>
              </w:divBdr>
            </w:div>
            <w:div w:id="2023169219">
              <w:marLeft w:val="0"/>
              <w:marRight w:val="0"/>
              <w:marTop w:val="0"/>
              <w:marBottom w:val="0"/>
              <w:divBdr>
                <w:top w:val="none" w:sz="0" w:space="0" w:color="auto"/>
                <w:left w:val="none" w:sz="0" w:space="0" w:color="auto"/>
                <w:bottom w:val="none" w:sz="0" w:space="0" w:color="auto"/>
                <w:right w:val="none" w:sz="0" w:space="0" w:color="auto"/>
              </w:divBdr>
            </w:div>
            <w:div w:id="2085758720">
              <w:marLeft w:val="0"/>
              <w:marRight w:val="0"/>
              <w:marTop w:val="0"/>
              <w:marBottom w:val="0"/>
              <w:divBdr>
                <w:top w:val="none" w:sz="0" w:space="0" w:color="auto"/>
                <w:left w:val="none" w:sz="0" w:space="0" w:color="auto"/>
                <w:bottom w:val="none" w:sz="0" w:space="0" w:color="auto"/>
                <w:right w:val="none" w:sz="0" w:space="0" w:color="auto"/>
              </w:divBdr>
            </w:div>
            <w:div w:id="2135556903">
              <w:marLeft w:val="0"/>
              <w:marRight w:val="0"/>
              <w:marTop w:val="0"/>
              <w:marBottom w:val="0"/>
              <w:divBdr>
                <w:top w:val="none" w:sz="0" w:space="0" w:color="auto"/>
                <w:left w:val="none" w:sz="0" w:space="0" w:color="auto"/>
                <w:bottom w:val="none" w:sz="0" w:space="0" w:color="auto"/>
                <w:right w:val="none" w:sz="0" w:space="0" w:color="auto"/>
              </w:divBdr>
            </w:div>
          </w:divsChild>
        </w:div>
        <w:div w:id="1476214007">
          <w:marLeft w:val="0"/>
          <w:marRight w:val="0"/>
          <w:marTop w:val="0"/>
          <w:marBottom w:val="0"/>
          <w:divBdr>
            <w:top w:val="none" w:sz="0" w:space="0" w:color="auto"/>
            <w:left w:val="none" w:sz="0" w:space="0" w:color="auto"/>
            <w:bottom w:val="none" w:sz="0" w:space="0" w:color="auto"/>
            <w:right w:val="none" w:sz="0" w:space="0" w:color="auto"/>
          </w:divBdr>
          <w:divsChild>
            <w:div w:id="112600199">
              <w:marLeft w:val="0"/>
              <w:marRight w:val="0"/>
              <w:marTop w:val="0"/>
              <w:marBottom w:val="0"/>
              <w:divBdr>
                <w:top w:val="none" w:sz="0" w:space="0" w:color="auto"/>
                <w:left w:val="none" w:sz="0" w:space="0" w:color="auto"/>
                <w:bottom w:val="none" w:sz="0" w:space="0" w:color="auto"/>
                <w:right w:val="none" w:sz="0" w:space="0" w:color="auto"/>
              </w:divBdr>
            </w:div>
            <w:div w:id="1056314381">
              <w:marLeft w:val="0"/>
              <w:marRight w:val="0"/>
              <w:marTop w:val="0"/>
              <w:marBottom w:val="0"/>
              <w:divBdr>
                <w:top w:val="none" w:sz="0" w:space="0" w:color="auto"/>
                <w:left w:val="none" w:sz="0" w:space="0" w:color="auto"/>
                <w:bottom w:val="none" w:sz="0" w:space="0" w:color="auto"/>
                <w:right w:val="none" w:sz="0" w:space="0" w:color="auto"/>
              </w:divBdr>
            </w:div>
            <w:div w:id="1236432020">
              <w:marLeft w:val="0"/>
              <w:marRight w:val="0"/>
              <w:marTop w:val="0"/>
              <w:marBottom w:val="0"/>
              <w:divBdr>
                <w:top w:val="none" w:sz="0" w:space="0" w:color="auto"/>
                <w:left w:val="none" w:sz="0" w:space="0" w:color="auto"/>
                <w:bottom w:val="none" w:sz="0" w:space="0" w:color="auto"/>
                <w:right w:val="none" w:sz="0" w:space="0" w:color="auto"/>
              </w:divBdr>
            </w:div>
            <w:div w:id="1356075895">
              <w:marLeft w:val="0"/>
              <w:marRight w:val="0"/>
              <w:marTop w:val="0"/>
              <w:marBottom w:val="0"/>
              <w:divBdr>
                <w:top w:val="none" w:sz="0" w:space="0" w:color="auto"/>
                <w:left w:val="none" w:sz="0" w:space="0" w:color="auto"/>
                <w:bottom w:val="none" w:sz="0" w:space="0" w:color="auto"/>
                <w:right w:val="none" w:sz="0" w:space="0" w:color="auto"/>
              </w:divBdr>
            </w:div>
            <w:div w:id="1507787075">
              <w:marLeft w:val="0"/>
              <w:marRight w:val="0"/>
              <w:marTop w:val="0"/>
              <w:marBottom w:val="0"/>
              <w:divBdr>
                <w:top w:val="none" w:sz="0" w:space="0" w:color="auto"/>
                <w:left w:val="none" w:sz="0" w:space="0" w:color="auto"/>
                <w:bottom w:val="none" w:sz="0" w:space="0" w:color="auto"/>
                <w:right w:val="none" w:sz="0" w:space="0" w:color="auto"/>
              </w:divBdr>
            </w:div>
            <w:div w:id="1519348425">
              <w:marLeft w:val="0"/>
              <w:marRight w:val="0"/>
              <w:marTop w:val="0"/>
              <w:marBottom w:val="0"/>
              <w:divBdr>
                <w:top w:val="none" w:sz="0" w:space="0" w:color="auto"/>
                <w:left w:val="none" w:sz="0" w:space="0" w:color="auto"/>
                <w:bottom w:val="none" w:sz="0" w:space="0" w:color="auto"/>
                <w:right w:val="none" w:sz="0" w:space="0" w:color="auto"/>
              </w:divBdr>
            </w:div>
            <w:div w:id="1544101787">
              <w:marLeft w:val="0"/>
              <w:marRight w:val="0"/>
              <w:marTop w:val="0"/>
              <w:marBottom w:val="0"/>
              <w:divBdr>
                <w:top w:val="none" w:sz="0" w:space="0" w:color="auto"/>
                <w:left w:val="none" w:sz="0" w:space="0" w:color="auto"/>
                <w:bottom w:val="none" w:sz="0" w:space="0" w:color="auto"/>
                <w:right w:val="none" w:sz="0" w:space="0" w:color="auto"/>
              </w:divBdr>
            </w:div>
            <w:div w:id="1717775956">
              <w:marLeft w:val="0"/>
              <w:marRight w:val="0"/>
              <w:marTop w:val="0"/>
              <w:marBottom w:val="0"/>
              <w:divBdr>
                <w:top w:val="none" w:sz="0" w:space="0" w:color="auto"/>
                <w:left w:val="none" w:sz="0" w:space="0" w:color="auto"/>
                <w:bottom w:val="none" w:sz="0" w:space="0" w:color="auto"/>
                <w:right w:val="none" w:sz="0" w:space="0" w:color="auto"/>
              </w:divBdr>
            </w:div>
            <w:div w:id="1919899412">
              <w:marLeft w:val="0"/>
              <w:marRight w:val="0"/>
              <w:marTop w:val="0"/>
              <w:marBottom w:val="0"/>
              <w:divBdr>
                <w:top w:val="none" w:sz="0" w:space="0" w:color="auto"/>
                <w:left w:val="none" w:sz="0" w:space="0" w:color="auto"/>
                <w:bottom w:val="none" w:sz="0" w:space="0" w:color="auto"/>
                <w:right w:val="none" w:sz="0" w:space="0" w:color="auto"/>
              </w:divBdr>
            </w:div>
          </w:divsChild>
        </w:div>
        <w:div w:id="2099518752">
          <w:marLeft w:val="0"/>
          <w:marRight w:val="0"/>
          <w:marTop w:val="0"/>
          <w:marBottom w:val="0"/>
          <w:divBdr>
            <w:top w:val="none" w:sz="0" w:space="0" w:color="auto"/>
            <w:left w:val="none" w:sz="0" w:space="0" w:color="auto"/>
            <w:bottom w:val="none" w:sz="0" w:space="0" w:color="auto"/>
            <w:right w:val="none" w:sz="0" w:space="0" w:color="auto"/>
          </w:divBdr>
          <w:divsChild>
            <w:div w:id="220213004">
              <w:marLeft w:val="0"/>
              <w:marRight w:val="0"/>
              <w:marTop w:val="0"/>
              <w:marBottom w:val="0"/>
              <w:divBdr>
                <w:top w:val="none" w:sz="0" w:space="0" w:color="auto"/>
                <w:left w:val="none" w:sz="0" w:space="0" w:color="auto"/>
                <w:bottom w:val="none" w:sz="0" w:space="0" w:color="auto"/>
                <w:right w:val="none" w:sz="0" w:space="0" w:color="auto"/>
              </w:divBdr>
            </w:div>
            <w:div w:id="383720836">
              <w:marLeft w:val="0"/>
              <w:marRight w:val="0"/>
              <w:marTop w:val="0"/>
              <w:marBottom w:val="0"/>
              <w:divBdr>
                <w:top w:val="none" w:sz="0" w:space="0" w:color="auto"/>
                <w:left w:val="none" w:sz="0" w:space="0" w:color="auto"/>
                <w:bottom w:val="none" w:sz="0" w:space="0" w:color="auto"/>
                <w:right w:val="none" w:sz="0" w:space="0" w:color="auto"/>
              </w:divBdr>
            </w:div>
            <w:div w:id="508637922">
              <w:marLeft w:val="0"/>
              <w:marRight w:val="0"/>
              <w:marTop w:val="0"/>
              <w:marBottom w:val="0"/>
              <w:divBdr>
                <w:top w:val="none" w:sz="0" w:space="0" w:color="auto"/>
                <w:left w:val="none" w:sz="0" w:space="0" w:color="auto"/>
                <w:bottom w:val="none" w:sz="0" w:space="0" w:color="auto"/>
                <w:right w:val="none" w:sz="0" w:space="0" w:color="auto"/>
              </w:divBdr>
            </w:div>
            <w:div w:id="566233014">
              <w:marLeft w:val="0"/>
              <w:marRight w:val="0"/>
              <w:marTop w:val="0"/>
              <w:marBottom w:val="0"/>
              <w:divBdr>
                <w:top w:val="none" w:sz="0" w:space="0" w:color="auto"/>
                <w:left w:val="none" w:sz="0" w:space="0" w:color="auto"/>
                <w:bottom w:val="none" w:sz="0" w:space="0" w:color="auto"/>
                <w:right w:val="none" w:sz="0" w:space="0" w:color="auto"/>
              </w:divBdr>
            </w:div>
            <w:div w:id="585915758">
              <w:marLeft w:val="0"/>
              <w:marRight w:val="0"/>
              <w:marTop w:val="0"/>
              <w:marBottom w:val="0"/>
              <w:divBdr>
                <w:top w:val="none" w:sz="0" w:space="0" w:color="auto"/>
                <w:left w:val="none" w:sz="0" w:space="0" w:color="auto"/>
                <w:bottom w:val="none" w:sz="0" w:space="0" w:color="auto"/>
                <w:right w:val="none" w:sz="0" w:space="0" w:color="auto"/>
              </w:divBdr>
            </w:div>
            <w:div w:id="592202664">
              <w:marLeft w:val="0"/>
              <w:marRight w:val="0"/>
              <w:marTop w:val="0"/>
              <w:marBottom w:val="0"/>
              <w:divBdr>
                <w:top w:val="none" w:sz="0" w:space="0" w:color="auto"/>
                <w:left w:val="none" w:sz="0" w:space="0" w:color="auto"/>
                <w:bottom w:val="none" w:sz="0" w:space="0" w:color="auto"/>
                <w:right w:val="none" w:sz="0" w:space="0" w:color="auto"/>
              </w:divBdr>
            </w:div>
            <w:div w:id="622881879">
              <w:marLeft w:val="0"/>
              <w:marRight w:val="0"/>
              <w:marTop w:val="0"/>
              <w:marBottom w:val="0"/>
              <w:divBdr>
                <w:top w:val="none" w:sz="0" w:space="0" w:color="auto"/>
                <w:left w:val="none" w:sz="0" w:space="0" w:color="auto"/>
                <w:bottom w:val="none" w:sz="0" w:space="0" w:color="auto"/>
                <w:right w:val="none" w:sz="0" w:space="0" w:color="auto"/>
              </w:divBdr>
            </w:div>
            <w:div w:id="814877435">
              <w:marLeft w:val="0"/>
              <w:marRight w:val="0"/>
              <w:marTop w:val="0"/>
              <w:marBottom w:val="0"/>
              <w:divBdr>
                <w:top w:val="none" w:sz="0" w:space="0" w:color="auto"/>
                <w:left w:val="none" w:sz="0" w:space="0" w:color="auto"/>
                <w:bottom w:val="none" w:sz="0" w:space="0" w:color="auto"/>
                <w:right w:val="none" w:sz="0" w:space="0" w:color="auto"/>
              </w:divBdr>
            </w:div>
            <w:div w:id="906067556">
              <w:marLeft w:val="0"/>
              <w:marRight w:val="0"/>
              <w:marTop w:val="0"/>
              <w:marBottom w:val="0"/>
              <w:divBdr>
                <w:top w:val="none" w:sz="0" w:space="0" w:color="auto"/>
                <w:left w:val="none" w:sz="0" w:space="0" w:color="auto"/>
                <w:bottom w:val="none" w:sz="0" w:space="0" w:color="auto"/>
                <w:right w:val="none" w:sz="0" w:space="0" w:color="auto"/>
              </w:divBdr>
            </w:div>
            <w:div w:id="1004549284">
              <w:marLeft w:val="0"/>
              <w:marRight w:val="0"/>
              <w:marTop w:val="0"/>
              <w:marBottom w:val="0"/>
              <w:divBdr>
                <w:top w:val="none" w:sz="0" w:space="0" w:color="auto"/>
                <w:left w:val="none" w:sz="0" w:space="0" w:color="auto"/>
                <w:bottom w:val="none" w:sz="0" w:space="0" w:color="auto"/>
                <w:right w:val="none" w:sz="0" w:space="0" w:color="auto"/>
              </w:divBdr>
            </w:div>
            <w:div w:id="1193882105">
              <w:marLeft w:val="0"/>
              <w:marRight w:val="0"/>
              <w:marTop w:val="0"/>
              <w:marBottom w:val="0"/>
              <w:divBdr>
                <w:top w:val="none" w:sz="0" w:space="0" w:color="auto"/>
                <w:left w:val="none" w:sz="0" w:space="0" w:color="auto"/>
                <w:bottom w:val="none" w:sz="0" w:space="0" w:color="auto"/>
                <w:right w:val="none" w:sz="0" w:space="0" w:color="auto"/>
              </w:divBdr>
            </w:div>
            <w:div w:id="1296984319">
              <w:marLeft w:val="0"/>
              <w:marRight w:val="0"/>
              <w:marTop w:val="0"/>
              <w:marBottom w:val="0"/>
              <w:divBdr>
                <w:top w:val="none" w:sz="0" w:space="0" w:color="auto"/>
                <w:left w:val="none" w:sz="0" w:space="0" w:color="auto"/>
                <w:bottom w:val="none" w:sz="0" w:space="0" w:color="auto"/>
                <w:right w:val="none" w:sz="0" w:space="0" w:color="auto"/>
              </w:divBdr>
            </w:div>
            <w:div w:id="1547986724">
              <w:marLeft w:val="0"/>
              <w:marRight w:val="0"/>
              <w:marTop w:val="0"/>
              <w:marBottom w:val="0"/>
              <w:divBdr>
                <w:top w:val="none" w:sz="0" w:space="0" w:color="auto"/>
                <w:left w:val="none" w:sz="0" w:space="0" w:color="auto"/>
                <w:bottom w:val="none" w:sz="0" w:space="0" w:color="auto"/>
                <w:right w:val="none" w:sz="0" w:space="0" w:color="auto"/>
              </w:divBdr>
            </w:div>
            <w:div w:id="1829130454">
              <w:marLeft w:val="0"/>
              <w:marRight w:val="0"/>
              <w:marTop w:val="0"/>
              <w:marBottom w:val="0"/>
              <w:divBdr>
                <w:top w:val="none" w:sz="0" w:space="0" w:color="auto"/>
                <w:left w:val="none" w:sz="0" w:space="0" w:color="auto"/>
                <w:bottom w:val="none" w:sz="0" w:space="0" w:color="auto"/>
                <w:right w:val="none" w:sz="0" w:space="0" w:color="auto"/>
              </w:divBdr>
            </w:div>
            <w:div w:id="1830511078">
              <w:marLeft w:val="0"/>
              <w:marRight w:val="0"/>
              <w:marTop w:val="0"/>
              <w:marBottom w:val="0"/>
              <w:divBdr>
                <w:top w:val="none" w:sz="0" w:space="0" w:color="auto"/>
                <w:left w:val="none" w:sz="0" w:space="0" w:color="auto"/>
                <w:bottom w:val="none" w:sz="0" w:space="0" w:color="auto"/>
                <w:right w:val="none" w:sz="0" w:space="0" w:color="auto"/>
              </w:divBdr>
            </w:div>
            <w:div w:id="1830822517">
              <w:marLeft w:val="0"/>
              <w:marRight w:val="0"/>
              <w:marTop w:val="0"/>
              <w:marBottom w:val="0"/>
              <w:divBdr>
                <w:top w:val="none" w:sz="0" w:space="0" w:color="auto"/>
                <w:left w:val="none" w:sz="0" w:space="0" w:color="auto"/>
                <w:bottom w:val="none" w:sz="0" w:space="0" w:color="auto"/>
                <w:right w:val="none" w:sz="0" w:space="0" w:color="auto"/>
              </w:divBdr>
            </w:div>
            <w:div w:id="1873763879">
              <w:marLeft w:val="0"/>
              <w:marRight w:val="0"/>
              <w:marTop w:val="0"/>
              <w:marBottom w:val="0"/>
              <w:divBdr>
                <w:top w:val="none" w:sz="0" w:space="0" w:color="auto"/>
                <w:left w:val="none" w:sz="0" w:space="0" w:color="auto"/>
                <w:bottom w:val="none" w:sz="0" w:space="0" w:color="auto"/>
                <w:right w:val="none" w:sz="0" w:space="0" w:color="auto"/>
              </w:divBdr>
            </w:div>
            <w:div w:id="1933395936">
              <w:marLeft w:val="0"/>
              <w:marRight w:val="0"/>
              <w:marTop w:val="0"/>
              <w:marBottom w:val="0"/>
              <w:divBdr>
                <w:top w:val="none" w:sz="0" w:space="0" w:color="auto"/>
                <w:left w:val="none" w:sz="0" w:space="0" w:color="auto"/>
                <w:bottom w:val="none" w:sz="0" w:space="0" w:color="auto"/>
                <w:right w:val="none" w:sz="0" w:space="0" w:color="auto"/>
              </w:divBdr>
            </w:div>
            <w:div w:id="2028209861">
              <w:marLeft w:val="0"/>
              <w:marRight w:val="0"/>
              <w:marTop w:val="0"/>
              <w:marBottom w:val="0"/>
              <w:divBdr>
                <w:top w:val="none" w:sz="0" w:space="0" w:color="auto"/>
                <w:left w:val="none" w:sz="0" w:space="0" w:color="auto"/>
                <w:bottom w:val="none" w:sz="0" w:space="0" w:color="auto"/>
                <w:right w:val="none" w:sz="0" w:space="0" w:color="auto"/>
              </w:divBdr>
            </w:div>
            <w:div w:id="203780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805308">
      <w:bodyDiv w:val="1"/>
      <w:marLeft w:val="0"/>
      <w:marRight w:val="0"/>
      <w:marTop w:val="0"/>
      <w:marBottom w:val="0"/>
      <w:divBdr>
        <w:top w:val="none" w:sz="0" w:space="0" w:color="auto"/>
        <w:left w:val="none" w:sz="0" w:space="0" w:color="auto"/>
        <w:bottom w:val="none" w:sz="0" w:space="0" w:color="auto"/>
        <w:right w:val="none" w:sz="0" w:space="0" w:color="auto"/>
      </w:divBdr>
    </w:div>
    <w:div w:id="1926721573">
      <w:bodyDiv w:val="1"/>
      <w:marLeft w:val="0"/>
      <w:marRight w:val="0"/>
      <w:marTop w:val="0"/>
      <w:marBottom w:val="0"/>
      <w:divBdr>
        <w:top w:val="none" w:sz="0" w:space="0" w:color="auto"/>
        <w:left w:val="none" w:sz="0" w:space="0" w:color="auto"/>
        <w:bottom w:val="none" w:sz="0" w:space="0" w:color="auto"/>
        <w:right w:val="none" w:sz="0" w:space="0" w:color="auto"/>
      </w:divBdr>
    </w:div>
    <w:div w:id="1968392813">
      <w:bodyDiv w:val="1"/>
      <w:marLeft w:val="0"/>
      <w:marRight w:val="0"/>
      <w:marTop w:val="0"/>
      <w:marBottom w:val="0"/>
      <w:divBdr>
        <w:top w:val="none" w:sz="0" w:space="0" w:color="auto"/>
        <w:left w:val="none" w:sz="0" w:space="0" w:color="auto"/>
        <w:bottom w:val="none" w:sz="0" w:space="0" w:color="auto"/>
        <w:right w:val="none" w:sz="0" w:space="0" w:color="auto"/>
      </w:divBdr>
    </w:div>
    <w:div w:id="198234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234D8F-859D-4E8E-AED1-0D423C173FBD}">
  <ds:schemaRefs>
    <ds:schemaRef ds:uri="http://schemas.openxmlformats.org/officeDocument/2006/bibliography"/>
  </ds:schemaRefs>
</ds:datastoreItem>
</file>

<file path=customXml/itemProps2.xml><?xml version="1.0" encoding="utf-8"?>
<ds:datastoreItem xmlns:ds="http://schemas.openxmlformats.org/officeDocument/2006/customXml" ds:itemID="{112AF1DF-684D-47DD-B2F5-A29E99735F4A}"/>
</file>

<file path=customXml/itemProps3.xml><?xml version="1.0" encoding="utf-8"?>
<ds:datastoreItem xmlns:ds="http://schemas.openxmlformats.org/officeDocument/2006/customXml" ds:itemID="{B29AA594-E063-406D-990E-76A3FB6EB19F}"/>
</file>

<file path=customXml/itemProps4.xml><?xml version="1.0" encoding="utf-8"?>
<ds:datastoreItem xmlns:ds="http://schemas.openxmlformats.org/officeDocument/2006/customXml" ds:itemID="{1D8A7C68-0DC0-4C32-BDD6-F69EFC5B3200}"/>
</file>

<file path=docProps/app.xml><?xml version="1.0" encoding="utf-8"?>
<Properties xmlns="http://schemas.openxmlformats.org/officeDocument/2006/extended-properties" xmlns:vt="http://schemas.openxmlformats.org/officeDocument/2006/docPropsVTypes">
  <Template>Normal</Template>
  <TotalTime>0</TotalTime>
  <Pages>38</Pages>
  <Words>8298</Words>
  <Characters>47301</Characters>
  <Application>Microsoft Office Word</Application>
  <DocSecurity>4</DocSecurity>
  <Lines>394</Lines>
  <Paragraphs>110</Paragraphs>
  <ScaleCrop>false</ScaleCrop>
  <Company/>
  <LinksUpToDate>false</LinksUpToDate>
  <CharactersWithSpaces>55489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2024-02-22T17:53:00Z</dcterms:created>
  <dcterms:modified xsi:type="dcterms:W3CDTF">2024-02-22T17:53:00Z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2024-02-22T17:53:06Z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a43e738c-45cc-4478-93d0-9ea8bc765c8c</vt:lpwstr>
  </property>
  <property fmtid="{D5CDD505-2E9C-101B-9397-08002B2CF9AE}" pid="8" name="MSIP_Label_e3ac3a1a-de19-428b-b395-6d250d7743fb_ContentBits">
    <vt:lpwstr>0</vt:lpwstr>
  </property>
  <property fmtid="{D5CDD505-2E9C-101B-9397-08002B2CF9AE}" pid="9" name="ContentTypeId">
    <vt:lpwstr>0x010100F7A0A3677438D24B928C2D9AE45F51FC</vt:lpwstr>
  </property>
</Properties>
</file>